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end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Lgota Wielka, dnia 25.09.2024 r.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Znak: RIG.BU.6730.16.2024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DECYZJA</w:t>
      </w:r>
    </w:p>
    <w:p>
      <w:pPr>
        <w:pStyle w:val="Normal"/>
        <w:bidi w:val="0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 WARUNKACH ZABUDOWY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 </w:t>
      </w:r>
    </w:p>
    <w:p>
      <w:pPr>
        <w:pStyle w:val="Normal"/>
        <w:bidi w:val="0"/>
        <w:spacing w:lineRule="auto" w:line="276"/>
        <w:ind w:start="142" w:end="0"/>
        <w:jc w:val="both"/>
        <w:rPr/>
      </w:pPr>
      <w:r>
        <w:rPr>
          <w:rFonts w:cs="Arial" w:ascii="Arial" w:hAnsi="Arial"/>
          <w:sz w:val="22"/>
          <w:szCs w:val="22"/>
        </w:rPr>
        <w:t xml:space="preserve">Na podstawie art. 4 ust. 2 pkt 2, art. 59 ust. 1, art. 60 ust. 1 i 4, art. 61 ust. 1 w związku z art. 61 ust. 3 </w:t>
      </w:r>
      <w:r>
        <w:rPr>
          <w:rFonts w:cs="Arial" w:ascii="Arial" w:hAnsi="Arial"/>
          <w:spacing w:val="-4"/>
          <w:sz w:val="22"/>
          <w:szCs w:val="22"/>
        </w:rPr>
        <w:t>ustawy z dnia 27 marca 2003 r. o planowaniu i zagospodarowaniu przestrzennym (</w:t>
      </w:r>
      <w:r>
        <w:rPr>
          <w:rStyle w:val="markedcontent"/>
          <w:rFonts w:cs="Arial" w:ascii="Arial" w:hAnsi="Arial"/>
          <w:sz w:val="22"/>
          <w:szCs w:val="22"/>
        </w:rPr>
        <w:t>Dz. U. z 2023 r. poz. 977, 1506, 1597, 1688, 1890, 2029, 2739</w:t>
      </w:r>
      <w:r>
        <w:rPr>
          <w:rFonts w:cs="Arial" w:ascii="Arial" w:hAnsi="Arial"/>
          <w:sz w:val="22"/>
          <w:szCs w:val="22"/>
        </w:rPr>
        <w:t>), §2 Rozporządzenia Ministra Infrastruktury z dnia 26 sierpnia 2003 r. w sprawie oznaczeń i nazewnictwa stosowanych w decyzji o ustaleniu lokalizacji inwestycji celu publicznego oraz  w decyzji o warunkach zabudowy (Dz. U. Nr 164, poz. 1589) oraz art. 104 ustawy z dnia 14 czerwca 1960 r. Kodeks postępowania administracyjnego (</w:t>
      </w:r>
      <w:r>
        <w:rPr>
          <w:rStyle w:val="markedcontent"/>
          <w:rFonts w:cs="Arial" w:ascii="Arial" w:hAnsi="Arial"/>
          <w:sz w:val="22"/>
          <w:szCs w:val="22"/>
        </w:rPr>
        <w:t>Dz. U. z 2024 r. poz. 572</w:t>
      </w:r>
      <w:r>
        <w:rPr>
          <w:rFonts w:cs="Arial" w:ascii="Arial" w:hAnsi="Arial"/>
          <w:sz w:val="22"/>
          <w:szCs w:val="22"/>
        </w:rPr>
        <w:t xml:space="preserve">) oraz po rozpatrzeniu wniosku z dnia 31 maja 2024 r., (data uzupełnienia 1 lipca 2024 r.), MQ Energy Sp. z o.o., ul. Bukowa 24, 43-100 Tychy, 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 sprawie wydania decyzji o warunkach zabudowy: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dla części działek nr ewid. 467, 468, 469, 471, 464/1 (obręb Krzywanice), położonych w gminie Lgota Wielka,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dla inwestycji obejmującej: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budowę farmy fotowoltaicznej PV Krzywanice o mocy do 10,0 MW wraz z niezbędną infrastrukturą techniczną, placem manewrowym i przyłączem,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bidi w:val="0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określam sposób zagospodarowania i warunki zabudowy terenu</w:t>
      </w:r>
    </w:p>
    <w:p>
      <w:pPr>
        <w:pStyle w:val="Normal"/>
        <w:bidi w:val="0"/>
        <w:spacing w:lineRule="auto" w:line="276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wyznaczonego na załączniku graficznym nr 1 sporządzonym na mapie w skali 1:1000, liniami rozgraniczającymi teren inwestycji pokrywającymi się z granicą terenu objętego wnioskiem</w:t>
      </w:r>
    </w:p>
    <w:p>
      <w:pPr>
        <w:pStyle w:val="Heading1"/>
        <w:numPr>
          <w:ilvl w:val="0"/>
          <w:numId w:val="0"/>
        </w:numPr>
        <w:bidi w:val="0"/>
        <w:spacing w:lineRule="auto" w:line="276"/>
        <w:ind w:hanging="0" w:start="0" w:end="0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cs="Arial" w:ascii="Arial" w:hAnsi="Arial"/>
          <w:bCs/>
          <w:color w:val="FF0000"/>
          <w:sz w:val="22"/>
          <w:szCs w:val="22"/>
        </w:rPr>
      </w:r>
    </w:p>
    <w:p>
      <w:pPr>
        <w:pStyle w:val="Heading1"/>
        <w:numPr>
          <w:ilvl w:val="0"/>
          <w:numId w:val="0"/>
        </w:numPr>
        <w:bidi w:val="0"/>
        <w:spacing w:lineRule="auto" w:line="276"/>
        <w:ind w:hanging="0" w:start="0" w:end="0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dla inwestycji obejmującej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bookmarkStart w:id="0" w:name="_Hlk19186551"/>
      <w:bookmarkEnd w:id="0"/>
      <w:r>
        <w:rPr>
          <w:rFonts w:cs="Arial" w:ascii="Arial" w:hAnsi="Arial"/>
          <w:sz w:val="22"/>
          <w:szCs w:val="22"/>
        </w:rPr>
        <w:t xml:space="preserve">budowę farmy fotowoltaicznej PV Krzywanice o mocy do 10,0 MW wraz z niezbędną infrastrukturą techniczną, placem manewrowym i przyłączem na części działek o nr ewid. 467, 468, 469, 471, 464/1 (obręb Krzywanice), położonych w gminie Lgota Wielka, </w:t>
      </w:r>
    </w:p>
    <w:p>
      <w:pPr>
        <w:pStyle w:val="Normal"/>
        <w:bidi w:val="0"/>
        <w:spacing w:lineRule="auto" w:line="276"/>
        <w:jc w:val="center"/>
        <w:rPr>
          <w:b/>
          <w:bCs/>
        </w:rPr>
      </w:pPr>
      <w:r>
        <w:rPr>
          <w:b/>
          <w:bCs/>
        </w:rPr>
      </w:r>
      <w:bookmarkStart w:id="1" w:name="_Hlk19186551_kopia_1"/>
      <w:bookmarkStart w:id="2" w:name="_Hlk19186551_kopia_1"/>
      <w:bookmarkEnd w:id="2"/>
    </w:p>
    <w:p>
      <w:pPr>
        <w:pStyle w:val="Normal"/>
        <w:bidi w:val="0"/>
        <w:spacing w:lineRule="auto" w:line="276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i ustalam: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cs="Arial" w:ascii="Arial" w:hAnsi="Arial"/>
          <w:b/>
          <w:bCs/>
          <w:color w:val="FF0000"/>
          <w:sz w:val="22"/>
          <w:szCs w:val="22"/>
        </w:rPr>
      </w:r>
    </w:p>
    <w:p>
      <w:pPr>
        <w:pStyle w:val="Tekstpodstawowy3"/>
        <w:bidi w:val="0"/>
        <w:spacing w:lineRule="auto" w:line="27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rodzaj zabudowy: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2910" w:leader="none"/>
          <w:tab w:val="left" w:pos="3837" w:leader="none"/>
        </w:tabs>
        <w:bidi w:val="0"/>
        <w:spacing w:lineRule="auto" w:line="276"/>
        <w:ind w:hanging="357" w:start="1917" w:end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  </w:t>
      </w:r>
      <w:r>
        <w:rPr>
          <w:rFonts w:cs="Arial" w:ascii="Arial" w:hAnsi="Arial"/>
          <w:sz w:val="22"/>
          <w:szCs w:val="22"/>
        </w:rPr>
        <w:t>instalacja odnawialnego źródła energii,</w:t>
      </w:r>
    </w:p>
    <w:p>
      <w:pPr>
        <w:pStyle w:val="Normal"/>
        <w:tabs>
          <w:tab w:val="clear" w:pos="709"/>
          <w:tab w:val="left" w:pos="2910" w:leader="none"/>
          <w:tab w:val="left" w:pos="3837" w:leader="none"/>
        </w:tabs>
        <w:bidi w:val="0"/>
        <w:spacing w:lineRule="auto" w:line="276"/>
        <w:ind w:start="1917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oraz funkcję zabudowy:</w:t>
      </w:r>
    </w:p>
    <w:p>
      <w:pPr>
        <w:pStyle w:val="Normal"/>
        <w:numPr>
          <w:ilvl w:val="0"/>
          <w:numId w:val="5"/>
        </w:numPr>
        <w:tabs>
          <w:tab w:val="clear" w:pos="709"/>
          <w:tab w:val="left" w:pos="3120" w:leader="none"/>
        </w:tabs>
        <w:bidi w:val="0"/>
        <w:spacing w:lineRule="auto" w:line="276"/>
        <w:ind w:hanging="567" w:start="2127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instalacja fotowoltaiczna, magazyny energii </w:t>
      </w:r>
    </w:p>
    <w:p>
      <w:pPr>
        <w:pStyle w:val="Normal"/>
        <w:tabs>
          <w:tab w:val="clear" w:pos="709"/>
          <w:tab w:val="left" w:pos="2910" w:leader="none"/>
          <w:tab w:val="left" w:pos="3837" w:leader="none"/>
        </w:tabs>
        <w:bidi w:val="0"/>
        <w:spacing w:lineRule="auto" w:line="276"/>
        <w:ind w:start="1917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Realizacja zamierzenia wymaga spełnienia następujących warunków i szczegółowych zasad zagospodarowania terenu oraz jego zabudowy wynikająca z przepisów odrębnych w zakresie: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cs="Arial" w:ascii="Arial" w:hAnsi="Arial"/>
          <w:b/>
          <w:bCs/>
          <w:color w:val="FF0000"/>
          <w:sz w:val="22"/>
          <w:szCs w:val="22"/>
        </w:rPr>
      </w:r>
    </w:p>
    <w:p>
      <w:pPr>
        <w:pStyle w:val="Normal"/>
        <w:numPr>
          <w:ilvl w:val="0"/>
          <w:numId w:val="6"/>
        </w:numPr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warunków i wymagań ochrony i kształtowania ładu przestrzennego:</w:t>
      </w:r>
    </w:p>
    <w:p>
      <w:pPr>
        <w:pStyle w:val="Normal"/>
        <w:numPr>
          <w:ilvl w:val="0"/>
          <w:numId w:val="1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linia zabudowy: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993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nieprzekraczalna linia zabudowy dla planowanej inwestycji: 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bidi w:val="0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zgodna z Zał. 1</w:t>
      </w:r>
      <w:r>
        <w:rPr>
          <w:rFonts w:cs="Arial" w:ascii="Arial" w:hAnsi="Arial"/>
          <w:bCs/>
          <w:sz w:val="22"/>
          <w:szCs w:val="22"/>
        </w:rPr>
        <w:t>,</w:t>
      </w:r>
    </w:p>
    <w:p>
      <w:pPr>
        <w:pStyle w:val="Normal"/>
        <w:numPr>
          <w:ilvl w:val="0"/>
          <w:numId w:val="1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parametry techniczne oraz zakres przedsięwzięcia projektowanej inwestycji: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panele fotowoltaiczne o przewidywanej łącznej mocy do 10 MW,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moduły fotowoltaiczne na konstrukcjach wsporczych o maksymalnej mocy wytwórczej pojedynczego modułu od 365 Wp do 1,5 kWp,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podziemne linie elektroenergetyczne niskiego, średniego i wysokiego napięcia, linie światłowodowe, drogi dojazdowe wraz z placem manewrowym,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inwertery w liczbie do 175 szt., o mocy jednostkowej od 100 do 330 kVa,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instalacja do 10 szt. transformatorów umieszczonych w kontenerowych stacjach elektroenergetycznych, w jednej kontenerowej stacji znajdować się będą maksymalnie 2 transformatory,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ogrodzenie oraz monitoring,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systemy naprowadzające (trackery) – mogą być zastosowane opcjonalnie,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magazyny energii – mogą być zastosowane opcjonalnie,</w:t>
      </w:r>
    </w:p>
    <w:p>
      <w:pPr>
        <w:pStyle w:val="Normal"/>
        <w:numPr>
          <w:ilvl w:val="0"/>
          <w:numId w:val="2"/>
        </w:numPr>
        <w:bidi w:val="0"/>
        <w:spacing w:lineRule="auto" w:line="276"/>
        <w:ind w:hanging="283" w:start="1701" w:end="0"/>
        <w:jc w:val="both"/>
        <w:rPr/>
      </w:pPr>
      <w:r>
        <w:rPr>
          <w:rFonts w:cs="Arial" w:ascii="Arial" w:hAnsi="Arial"/>
          <w:sz w:val="22"/>
          <w:szCs w:val="22"/>
        </w:rPr>
        <w:t>realizacja planowanej inwestycji zgodnie z ustawą z dnia 10 kwietnia 1997 r. – Prawo energetyczne (</w:t>
      </w:r>
      <w:r>
        <w:rPr>
          <w:rStyle w:val="markedcontent"/>
          <w:rFonts w:cs="Arial" w:ascii="Arial" w:hAnsi="Arial"/>
          <w:sz w:val="22"/>
          <w:szCs w:val="22"/>
        </w:rPr>
        <w:t>Dz. U. z 2024 r. poz. 266</w:t>
      </w:r>
      <w:r>
        <w:rPr>
          <w:rFonts w:cs="Arial" w:ascii="Arial" w:hAnsi="Arial"/>
          <w:sz w:val="22"/>
          <w:szCs w:val="22"/>
        </w:rPr>
        <w:t>),</w:t>
      </w:r>
    </w:p>
    <w:p>
      <w:pPr>
        <w:pStyle w:val="Normal"/>
        <w:numPr>
          <w:ilvl w:val="0"/>
          <w:numId w:val="1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projekt techniczny planowanej inwestycji musi uwzględniać warunki wynikające z:</w:t>
      </w:r>
    </w:p>
    <w:p>
      <w:pPr>
        <w:pStyle w:val="Normal"/>
        <w:numPr>
          <w:ilvl w:val="1"/>
          <w:numId w:val="9"/>
        </w:numPr>
        <w:bidi w:val="0"/>
        <w:spacing w:lineRule="auto" w:line="276"/>
        <w:ind w:hanging="425" w:start="1418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ustawy z 7 lipca 1994 r. – Prawo budowlane (Dz. U. z 2024 r. poz. 725),</w:t>
      </w:r>
    </w:p>
    <w:p>
      <w:pPr>
        <w:pStyle w:val="Normal"/>
        <w:numPr>
          <w:ilvl w:val="1"/>
          <w:numId w:val="9"/>
        </w:numPr>
        <w:bidi w:val="0"/>
        <w:spacing w:lineRule="auto" w:line="276"/>
        <w:ind w:hanging="425" w:start="1418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rozporządzenia Ministra Infrastruktury z dnia 15 kwietnia 2022 r. w sprawie warunków technicznych, jakim powinny odpowiadać budynki i ich usytuowanie (Dz. U. 2022 poz. 1225),</w:t>
      </w:r>
    </w:p>
    <w:p>
      <w:pPr>
        <w:pStyle w:val="Normal"/>
        <w:numPr>
          <w:ilvl w:val="1"/>
          <w:numId w:val="9"/>
        </w:numPr>
        <w:bidi w:val="0"/>
        <w:spacing w:lineRule="auto" w:line="276"/>
        <w:ind w:hanging="425" w:start="1418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rozporządzenia Ministra Środowiska z dnia 14 czerwca 2007 r. w sprawie dopuszczalnych poziomów hałasu w środowisku (Dz. U. z 2014 r., poz. 112),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</w:r>
    </w:p>
    <w:p>
      <w:pPr>
        <w:pStyle w:val="Normal"/>
        <w:numPr>
          <w:ilvl w:val="0"/>
          <w:numId w:val="6"/>
        </w:numPr>
        <w:bidi w:val="0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ochrony środowiska i zdrowia ludzi, przyrody i krajobrazu:</w:t>
      </w:r>
      <w:r>
        <w:rPr>
          <w:rFonts w:cs="Arial" w:ascii="Arial" w:hAnsi="Arial"/>
          <w:bCs/>
          <w:sz w:val="22"/>
          <w:szCs w:val="22"/>
        </w:rPr>
        <w:t xml:space="preserve"> 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planowana inwestycja położona jest poza zasięgiem obszarów chronionych na podstawie przepisów o ochronie przyrody, 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wnioskowany obszar zlokalizowany jest w zasięgu Głównego Zbiornika Wód Podziemnych - GZWP nr 408 – Niecka Miechowska (część NW), 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/>
      </w:pPr>
      <w:r>
        <w:rPr>
          <w:rFonts w:cs="Arial" w:ascii="Arial" w:hAnsi="Arial"/>
          <w:sz w:val="22"/>
          <w:szCs w:val="22"/>
        </w:rPr>
        <w:t>zgodnie z ustawą z dnia 3 lutego 1995 r. o ochronie gruntów rolnych i leśnych (</w:t>
      </w:r>
      <w:r>
        <w:rPr>
          <w:rStyle w:val="markedcontent"/>
          <w:rFonts w:cs="Arial" w:ascii="Arial" w:hAnsi="Arial"/>
          <w:sz w:val="22"/>
          <w:szCs w:val="22"/>
        </w:rPr>
        <w:t>Dz. U. z 2022 r.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Style w:val="markedcontent"/>
          <w:rFonts w:cs="Arial" w:ascii="Arial" w:hAnsi="Arial"/>
          <w:sz w:val="22"/>
          <w:szCs w:val="22"/>
        </w:rPr>
        <w:t>poz. 2409</w:t>
      </w:r>
      <w:r>
        <w:rPr>
          <w:rFonts w:cs="Arial" w:ascii="Arial" w:hAnsi="Arial"/>
          <w:sz w:val="22"/>
          <w:szCs w:val="22"/>
        </w:rPr>
        <w:t>) planowana inwestycja jest zgodna z obowiązującymi przepisami.</w:t>
      </w:r>
      <w:r>
        <w:rPr>
          <w:rFonts w:cs="Arial" w:ascii="Arial" w:hAnsi="Arial"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Na terenie objętym wnioskiem  nie występują grunty leśne, ani grunty rolne klas I - III. Teren nie wymaga uzyskania zgody na zmianę przeznaczenia gruntów rolnych i leśnych na cele nierolnicze i nieleśne,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/>
      </w:pPr>
      <w:r>
        <w:rPr>
          <w:rFonts w:cs="Arial" w:ascii="Arial" w:hAnsi="Arial"/>
          <w:sz w:val="22"/>
          <w:szCs w:val="22"/>
        </w:rPr>
        <w:t>zgodnie  z art.</w:t>
      </w:r>
      <w:r>
        <w:rPr>
          <w:rStyle w:val="oznaczenie"/>
          <w:rFonts w:cs="Arial" w:ascii="Arial" w:hAnsi="Arial"/>
          <w:sz w:val="22"/>
          <w:szCs w:val="22"/>
        </w:rPr>
        <w:t xml:space="preserve"> 74 ust. 1 </w:t>
      </w:r>
      <w:r>
        <w:rPr>
          <w:rFonts w:cs="Arial" w:ascii="Arial" w:hAnsi="Arial"/>
          <w:sz w:val="22"/>
          <w:szCs w:val="22"/>
        </w:rPr>
        <w:t>ustawy z dnia 27 kwietnia 2001 r. Prawo ochrony środowiska (</w:t>
      </w:r>
      <w:r>
        <w:rPr>
          <w:rStyle w:val="markedcontent"/>
          <w:rFonts w:cs="Arial" w:ascii="Arial" w:hAnsi="Arial"/>
          <w:sz w:val="22"/>
          <w:szCs w:val="22"/>
        </w:rPr>
        <w:t>Dz. U. z 2024 r. poz. 54</w:t>
      </w:r>
      <w:r>
        <w:rPr>
          <w:rStyle w:val="oznaczenie"/>
          <w:rFonts w:cs="Arial" w:ascii="Arial" w:hAnsi="Arial"/>
          <w:sz w:val="22"/>
          <w:szCs w:val="22"/>
        </w:rPr>
        <w:t xml:space="preserve">) </w:t>
      </w:r>
      <w:r>
        <w:rPr>
          <w:rFonts w:cs="Arial" w:ascii="Arial" w:hAnsi="Arial"/>
          <w:sz w:val="22"/>
          <w:szCs w:val="22"/>
        </w:rPr>
        <w:t>w trakcie przygotowywania i realizacji inwestycji należy zapewnić oszczędne korzystanie z terenu,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 wniosku dołączono decyzję Wójta Gminy Lgota Wielka, znak: RIG.OSR.6220.1.2021 z dnia 04.12.2023 r., ustalającą środowiskowe uwarunkowania dla przedsięwzięcia polegającego na budowie farmy fotowoltaicznej PV Krzywanice o mocy do 10 MW realizowanej w granicach działek o nr ew.: 467, 468, 469, 471, 464/1 obręb Krzywanice (woj. łódzkie, gm. Lgota Wielka) wraz z niezbędną infrastrukturą techniczną, placem manewrowym i przyłączem poprzez określenie konieczności spełnienia następujących warunków korzystania ze środowiska w fazie realizacji, eksploatacji i likwidacji przedsięwzięcia,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realizacja inwestycji – zgodnie z warunkami określonymi w Decyzji o środowiskowych uwarunkowaniach Wójta Gminy Lgota Wielka, z dnia 04.12.2023 r., znak: RIG.OSR.6220.1.2021,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prowadzenie inwestycji na gruncie powinno odbywać się zgodnie z ogólnie przyjętymi zasadami ochrony przyrody – ustawa z dnia 16 kwietnia 2004 r. o ochronie przyrody (Dz. U. z 2022 r. poz. 916, 1726, 2185, 2375),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zapewnienie niemożności przenikania substancji szkodliwych do gruntu,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ochrona przed hałasem zgodna z przepisami odrębnymi,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 terenie objętym wnioskiem nie występują urządzenia melioracji wodnych,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przepisy prawa w zakresie ochrony środowiska obowiązują inwestora.</w:t>
      </w:r>
    </w:p>
    <w:p>
      <w:pPr>
        <w:pStyle w:val="Normal"/>
        <w:bidi w:val="0"/>
        <w:spacing w:lineRule="auto" w:line="276"/>
        <w:ind w:start="680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6"/>
        </w:numPr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ochrony dziedzictwa kulturowego i zabytków oraz dóbr kultury współczesnej: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planowana inwestycja znajduje się poza strefami wymagającymi szczególnej ochrony konserwatorskiej,</w:t>
      </w:r>
    </w:p>
    <w:p>
      <w:pPr>
        <w:pStyle w:val="Normal"/>
        <w:numPr>
          <w:ilvl w:val="0"/>
          <w:numId w:val="10"/>
        </w:numPr>
        <w:bidi w:val="0"/>
        <w:spacing w:lineRule="auto" w:line="276"/>
        <w:jc w:val="both"/>
        <w:rPr/>
      </w:pPr>
      <w:r>
        <w:rPr>
          <w:rFonts w:cs="Arial" w:ascii="Arial" w:hAnsi="Arial"/>
          <w:sz w:val="22"/>
          <w:szCs w:val="22"/>
        </w:rPr>
        <w:t>w przypadku prowadzenia prac ziemnych należy postępować zgodnie z art. 32 ust. 1 ustawy z dnia 23 lipca 2003 r. o ochronie zabytków i opiece nad zabytkami (</w:t>
      </w:r>
      <w:r>
        <w:rPr>
          <w:rStyle w:val="markedcontent"/>
          <w:rFonts w:cs="Arial" w:ascii="Arial" w:hAnsi="Arial"/>
          <w:sz w:val="22"/>
          <w:szCs w:val="22"/>
        </w:rPr>
        <w:t>Dz. U. z 2022 r. poz. 840, z 2023 r. poz. 951</w:t>
      </w:r>
      <w:r>
        <w:rPr>
          <w:rFonts w:cs="Arial" w:ascii="Arial" w:hAnsi="Arial"/>
          <w:sz w:val="22"/>
          <w:szCs w:val="22"/>
        </w:rPr>
        <w:t>).</w:t>
      </w:r>
    </w:p>
    <w:p>
      <w:pPr>
        <w:pStyle w:val="Normal"/>
        <w:tabs>
          <w:tab w:val="clear" w:pos="709"/>
          <w:tab w:val="left" w:pos="7560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1700" w:leader="none"/>
        </w:tabs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obsługi w zakresie infrastruktury technicznej i komunikacji:</w:t>
      </w:r>
    </w:p>
    <w:p>
      <w:pPr>
        <w:pStyle w:val="Tekstpodstawowywcity3"/>
        <w:numPr>
          <w:ilvl w:val="0"/>
          <w:numId w:val="11"/>
        </w:numPr>
        <w:bidi w:val="0"/>
        <w:spacing w:lineRule="auto" w:line="276"/>
        <w:ind w:hanging="357" w:start="1066" w:end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 xml:space="preserve">realizacja infrastruktury technicznej i obsługi komunikacyjnej – zgodnie z przepisami szczegółowymi na warunkach zarządców sieci i dróg, </w:t>
      </w:r>
    </w:p>
    <w:p>
      <w:pPr>
        <w:pStyle w:val="Tekstpodstawowywcity3"/>
        <w:numPr>
          <w:ilvl w:val="0"/>
          <w:numId w:val="11"/>
        </w:numPr>
        <w:bidi w:val="0"/>
        <w:spacing w:lineRule="auto" w:line="276"/>
        <w:ind w:hanging="357" w:start="1066" w:end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w przypadku przebudowy sieci i urządzeń infrastruktury kolidujących z projektowaną inwestycją, wszelkie zmiany w przebiegu czy usytuowaniu obiektów infrastruktury należy uzgodnić z właściwym zarządcą sieci,</w:t>
      </w:r>
    </w:p>
    <w:p>
      <w:pPr>
        <w:pStyle w:val="Normal"/>
        <w:numPr>
          <w:ilvl w:val="0"/>
          <w:numId w:val="11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zasilanie w energię elektryczną – poprzez projektowane przyłącze do sieci oraz poprzez projektowaną instalacje pozyskującą energię elektryczną ze źródeł odnawialnych, </w:t>
      </w:r>
    </w:p>
    <w:p>
      <w:pPr>
        <w:pStyle w:val="Normal"/>
        <w:numPr>
          <w:ilvl w:val="0"/>
          <w:numId w:val="11"/>
        </w:numPr>
        <w:bidi w:val="0"/>
        <w:spacing w:lineRule="auto" w:line="276"/>
        <w:jc w:val="both"/>
        <w:rPr/>
      </w:pPr>
      <w:r>
        <w:rPr>
          <w:rFonts w:cs="Arial" w:ascii="Arial" w:hAnsi="Arial"/>
          <w:sz w:val="22"/>
          <w:szCs w:val="22"/>
        </w:rPr>
        <w:t>energia elektryczna wyprodukowana przez elektrownię fotowoltaiczną będzie przesyłana do sieci elektroenergetycznej, na warunkach określonych w technicznych warunkach przyłączenia wydanych przez operatora sieci dystrybucyjnej po uzyskaniu wnioskowanej decyzji o warunkach zabudowy. Stosownie do treści art. 7 ust. 8d pkt 1 ustawy z dnia 10 kwietnia 1997 r. Prawo energetyczne (</w:t>
      </w:r>
      <w:r>
        <w:rPr>
          <w:rStyle w:val="markedcontent"/>
          <w:rFonts w:cs="Arial" w:ascii="Arial" w:hAnsi="Arial"/>
          <w:sz w:val="22"/>
          <w:szCs w:val="22"/>
        </w:rPr>
        <w:t>Dz. U. z 2024 r. poz. 266</w:t>
      </w:r>
      <w:r>
        <w:rPr>
          <w:rFonts w:cs="Arial" w:ascii="Arial" w:hAnsi="Arial"/>
          <w:sz w:val="22"/>
          <w:szCs w:val="22"/>
        </w:rPr>
        <w:t>) decyzja o warunkach zabudowy zostanie załączona do wniosku o wydanie warunków przyłączenia obiektu do sieci elektroenergetycznej. Zgodnie z wyrokiem Wojewódzkiego Sądu Administracyjnego w Białymstoku (II SA/Bk 940/17) „… przepis art. 61 ust. 1 pkt 3 ustawy planistycznej nie zawiera warunku zapewnienia odbioru wyprodukowanej energii”,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dojazd do planowanej inwestycji – poprzez projektowane zjazdy z drogi wewnętrznej zlokalizowanej na działce nr ewid. 470 (obręb Krzywanice), 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</w:tabs>
        <w:bidi w:val="0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gospodarka odpadami powstającymi na skutek prowadzenia działalności zgodna z przepisami szczególnymi - odpady poddawane selektywnej zbiórce, magazynowane w przeznaczonych do tego celu kontenerach, opróżnianych przez specjalistyczne przedsiębiorstwa – jeśli dotyczy,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odprowadzanie pozostałych wód opadowych i roztopowych - na nieutwardzony teren działek nr ewid. 467, 468, 469, 471, 464/1,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usytuowanie obiektu w obrębie istniejącej linii napowietrznej średniego napięcia, winno być zgodne z obowiązującymi przepisami,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wszystkie prace budowlane w pobliżu czynnych linii elektroenergetycznych, należy wykonywać zgodnie z wymaganiami zawartymi w Rozporządzeniu Ministra Pracy i Polityki Socjalnej z dnia 26 września 1997 r. w sprawie ogólnych przepisów bezpieczeństwa i higieny pracy (Dz. U. nr 169, poz. 1650), Rozporządzeniu Ministra Rodziny, Pracy i Polityki Społecznej z dnia 12 czerwca 2018 r. w sprawie najwyższych dopuszczalnych stężeń i natężeń czynników szkodliwych dla zdrowia w środowisku pracy (Dz. U. z 2018 r. poz. 1286) oraz Rozporządzeniu Ministra Infrastruktury z dnia 6 lutego 2003 r. w sprawie bezpieczeństwa i higieny pracy podczas wykonywania robót budowlanych (Dz. U. z 2003 r. nr 47 poz. 401),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ustala się obowiązek uzyskania opinii od PGE Dystrybucja S.A., dotyczącej lokalizowania projektowanych obiektów na etapie opracowania projektu budowlanego względem istniejącej infrastruktury elektroenergetycznej,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993" w:leader="none"/>
        </w:tabs>
        <w:suppressAutoHyphens w:val="false"/>
        <w:bidi w:val="0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docelowo projekt planowanej inwestycji powinien zostać zaopiniowany w PGE Dystrybucja S.A. Oddział Łódź w zakresie kolizji, zbliżeń lub skrzyżowań planowanej inwestycji z siecią elektroenergetyczną, której właścicielem jest PGE Dystrybucja S.A.</w:t>
      </w:r>
    </w:p>
    <w:p>
      <w:pPr>
        <w:pStyle w:val="Normal"/>
        <w:tabs>
          <w:tab w:val="clear" w:pos="709"/>
          <w:tab w:val="left" w:pos="1140" w:leader="none"/>
        </w:tabs>
        <w:suppressAutoHyphens w:val="false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6"/>
        </w:numPr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wymagań dotyczących ochrony interesów osób trzecich:</w:t>
      </w:r>
    </w:p>
    <w:p>
      <w:pPr>
        <w:pStyle w:val="Normal"/>
        <w:numPr>
          <w:ilvl w:val="0"/>
          <w:numId w:val="12"/>
        </w:numPr>
        <w:bidi w:val="0"/>
        <w:spacing w:lineRule="auto" w:line="276"/>
        <w:ind w:hanging="283" w:start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 etapie projektu budowlanego należy zapewnić spełnienie wymagań ochrony interesów osób trzecich w rozumieniu art. 5 ustawy z dnia 7 lipca 1994 r. – Prawo budowlane.</w:t>
      </w:r>
    </w:p>
    <w:p>
      <w:pPr>
        <w:pStyle w:val="Normal"/>
        <w:numPr>
          <w:ilvl w:val="0"/>
          <w:numId w:val="12"/>
        </w:numPr>
        <w:bidi w:val="0"/>
        <w:spacing w:lineRule="auto" w:line="276"/>
        <w:ind w:hanging="349" w:start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Planowana inwestycja na etapie użytkowania nie może pozbawiać osób trzecich dostępu do drogi publicznej, możliwości korzystania z wody, kanalizacji, energii elektrycznej i cieplnej, środków łączności, dostępu do światła dziennego do pomieszczeń przeznaczonych na pobyt ludzi, nie może powodować uciążliwości powodowanych przez hałas, wibracje, zakłócenia elektryczne i promieniowanie oraz zanieczyszczać powietrza, wody i gleby.</w:t>
      </w:r>
    </w:p>
    <w:p>
      <w:pPr>
        <w:pStyle w:val="Normal"/>
        <w:numPr>
          <w:ilvl w:val="0"/>
          <w:numId w:val="12"/>
        </w:numPr>
        <w:bidi w:val="0"/>
        <w:spacing w:lineRule="auto" w:line="276"/>
        <w:ind w:hanging="349" w:start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Ewentualne uciążliwości powstałe w trakcie eksploatacji inwestycji nie mogą wykraczać poza granice nieruchomości przedmiotowej działki.</w:t>
      </w:r>
    </w:p>
    <w:p>
      <w:pPr>
        <w:pStyle w:val="Normal"/>
        <w:numPr>
          <w:ilvl w:val="0"/>
          <w:numId w:val="12"/>
        </w:numPr>
        <w:bidi w:val="0"/>
        <w:spacing w:lineRule="auto" w:line="276"/>
        <w:ind w:hanging="349" w:start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Projekt techniczny musi uwzględniać warunki wynikające z ustawy z dnia 7 lipca 1994 r. – Prawo budowlane (Dz. U. z 2024 r. poz. 725) oraz rozporządzenia Ministra Infrastruktury z dnia 15 kwietnia 2022 r. w sprawie warunków technicznych, jakim powinny odpowiadać budynki i ich usytuowanie (Dz. U. 2022 poz. 1225).</w:t>
      </w:r>
    </w:p>
    <w:p>
      <w:pPr>
        <w:pStyle w:val="Normal"/>
        <w:bidi w:val="0"/>
        <w:spacing w:lineRule="auto" w:line="276"/>
        <w:ind w:start="360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Niniejsza decyzja nie rodzi praw do terenu oraz nie narusza prawa własności i uprawnień osób trzecich – art. 63 ust. 2 ustawy o planowaniu i zagospodarowaniu przestrzennym. Zgodnie z art. 63 ust. 4 ustawy – wnioskodawcy, który nie uzyskał prawa do terenu nie przysługuje roszczenie o zwrot nakładów poniesionych w związku z otrzymaną decyzją ustalającą warunki zabudowy.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</w:r>
    </w:p>
    <w:p>
      <w:pPr>
        <w:pStyle w:val="Normal"/>
        <w:numPr>
          <w:ilvl w:val="0"/>
          <w:numId w:val="6"/>
        </w:numPr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ochrony obiektów budowlanych na terenach górniczych:</w:t>
      </w:r>
    </w:p>
    <w:p>
      <w:pPr>
        <w:pStyle w:val="Normal"/>
        <w:bidi w:val="0"/>
        <w:spacing w:lineRule="auto" w:line="276"/>
        <w:ind w:firstLine="426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Działki nr ewid. 467, 468, 469, 471, 464/1 znajdują się w terenie górniczym Pole Bełchatów.</w:t>
      </w:r>
    </w:p>
    <w:p>
      <w:pPr>
        <w:pStyle w:val="Normal"/>
        <w:bidi w:val="0"/>
        <w:spacing w:lineRule="auto" w:line="276" w:before="396" w:after="0"/>
        <w:ind w:end="144"/>
        <w:jc w:val="end"/>
        <w:rPr>
          <w:rFonts w:ascii="Arial" w:hAnsi="Arial"/>
          <w:b/>
          <w:color w:val="000000"/>
          <w:spacing w:val="-2"/>
          <w:sz w:val="22"/>
          <w:szCs w:val="22"/>
        </w:rPr>
      </w:pPr>
      <w:r>
        <w:rPr>
          <w:rFonts w:ascii="Arial" w:hAnsi="Arial"/>
          <w:b/>
          <w:color w:val="000000"/>
          <w:spacing w:val="-2"/>
          <w:sz w:val="22"/>
          <w:szCs w:val="22"/>
        </w:rPr>
        <w:t>przy uwzględnieniu na kolejnych etapach przygotowania inwestycji następujących</w:t>
      </w:r>
    </w:p>
    <w:p>
      <w:pPr>
        <w:pStyle w:val="Normal"/>
        <w:bidi w:val="0"/>
        <w:spacing w:lineRule="auto" w:line="276" w:before="36" w:after="0"/>
        <w:ind w:start="2808" w:end="0"/>
        <w:jc w:val="start"/>
        <w:rPr>
          <w:rFonts w:ascii="Arial" w:hAnsi="Arial"/>
          <w:b/>
          <w:color w:val="000000"/>
          <w:spacing w:val="-4"/>
          <w:sz w:val="22"/>
          <w:szCs w:val="22"/>
        </w:rPr>
      </w:pPr>
      <w:r>
        <w:rPr>
          <w:rFonts w:ascii="Arial" w:hAnsi="Arial"/>
          <w:b/>
          <w:color w:val="000000"/>
          <w:spacing w:val="-4"/>
          <w:sz w:val="22"/>
          <w:szCs w:val="22"/>
        </w:rPr>
        <w:t>warunków geologiczno-górniczych:</w:t>
      </w:r>
    </w:p>
    <w:p>
      <w:pPr>
        <w:pStyle w:val="Normal"/>
        <w:numPr>
          <w:ilvl w:val="0"/>
          <w:numId w:val="13"/>
        </w:numPr>
        <w:bidi w:val="0"/>
        <w:spacing w:lineRule="auto" w:line="276" w:before="288" w:after="0"/>
        <w:jc w:val="both"/>
        <w:rPr>
          <w:rFonts w:ascii="Arial" w:hAnsi="Arial"/>
          <w:color w:val="000000"/>
          <w:spacing w:val="4"/>
          <w:sz w:val="22"/>
          <w:szCs w:val="22"/>
        </w:rPr>
      </w:pPr>
      <w:r>
        <w:rPr>
          <w:rFonts w:ascii="Arial" w:hAnsi="Arial"/>
          <w:color w:val="000000"/>
          <w:spacing w:val="4"/>
          <w:sz w:val="22"/>
          <w:szCs w:val="22"/>
        </w:rPr>
        <w:t>spodziewane wielkości deformacji ciągłych na terenie planowanej inwestycji wynoszą:</w:t>
      </w:r>
    </w:p>
    <w:p>
      <w:pPr>
        <w:pStyle w:val="Normal"/>
        <w:numPr>
          <w:ilvl w:val="0"/>
          <w:numId w:val="0"/>
        </w:numPr>
        <w:tabs>
          <w:tab w:val="clear" w:pos="709"/>
          <w:tab w:val="decimal" w:pos="1512" w:leader="none"/>
          <w:tab w:val="right" w:pos="5173" w:leader="none"/>
        </w:tabs>
        <w:suppressAutoHyphens w:val="false"/>
        <w:bidi w:val="0"/>
        <w:spacing w:lineRule="auto" w:line="276"/>
        <w:ind w:hanging="0" w:star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4"/>
          <w:sz w:val="22"/>
          <w:szCs w:val="22"/>
        </w:rPr>
        <w:t xml:space="preserve">- </w:t>
      </w:r>
      <w:r>
        <w:rPr>
          <w:rFonts w:ascii="Arial" w:hAnsi="Arial"/>
          <w:color w:val="000000"/>
          <w:sz w:val="22"/>
          <w:szCs w:val="22"/>
        </w:rPr>
        <w:t>osiadanie</w:t>
        <w:tab/>
        <w:t xml:space="preserve">     </w:t>
        <w:tab/>
      </w:r>
      <w:r>
        <w:rPr>
          <w:rFonts w:ascii="Arial" w:hAnsi="Arial"/>
          <w:color w:val="000000"/>
          <w:spacing w:val="6"/>
          <w:sz w:val="22"/>
          <w:szCs w:val="22"/>
        </w:rPr>
        <w:t>W</w:t>
      </w:r>
      <w:r>
        <w:rPr>
          <w:rFonts w:ascii="Arial" w:hAnsi="Arial"/>
          <w:color w:val="000000"/>
          <w:spacing w:val="6"/>
          <w:sz w:val="22"/>
          <w:szCs w:val="22"/>
          <w:vertAlign w:val="subscript"/>
        </w:rPr>
        <w:t xml:space="preserve">max n  </w:t>
      </w:r>
      <w:r>
        <w:rPr>
          <w:rFonts w:ascii="Arial" w:hAnsi="Arial"/>
          <w:color w:val="000000"/>
          <w:spacing w:val="6"/>
          <w:sz w:val="22"/>
          <w:szCs w:val="22"/>
        </w:rPr>
        <w:t>= 0,0 m,</w:t>
      </w:r>
    </w:p>
    <w:p>
      <w:pPr>
        <w:pStyle w:val="Normal"/>
        <w:numPr>
          <w:ilvl w:val="0"/>
          <w:numId w:val="0"/>
        </w:numPr>
        <w:tabs>
          <w:tab w:val="clear" w:pos="709"/>
          <w:tab w:val="decimal" w:pos="1512" w:leader="none"/>
        </w:tabs>
        <w:suppressAutoHyphens w:val="false"/>
        <w:bidi w:val="0"/>
        <w:spacing w:lineRule="auto" w:line="276"/>
        <w:ind w:hanging="0" w:star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2"/>
          <w:sz w:val="22"/>
          <w:szCs w:val="22"/>
        </w:rPr>
        <w:t xml:space="preserve">- odkształcenie poziome </w:t>
        <w:tab/>
        <w:tab/>
        <w:tab/>
        <w:t>E</w:t>
      </w:r>
      <w:r>
        <w:rPr>
          <w:rFonts w:ascii="Arial" w:hAnsi="Arial"/>
          <w:color w:val="000000"/>
          <w:spacing w:val="12"/>
          <w:position w:val="0"/>
          <w:sz w:val="22"/>
          <w:sz w:val="22"/>
          <w:szCs w:val="22"/>
          <w:vertAlign w:val="baseline"/>
        </w:rPr>
        <w:t>max</w:t>
      </w:r>
      <w:r>
        <w:rPr>
          <w:rFonts w:ascii="Arial" w:hAnsi="Arial"/>
          <w:color w:val="000000"/>
          <w:spacing w:val="12"/>
          <w:sz w:val="22"/>
          <w:szCs w:val="22"/>
        </w:rPr>
        <w:t xml:space="preserve"> = </w:t>
      </w:r>
      <w:r>
        <w:rPr>
          <w:rFonts w:ascii="Arial" w:hAnsi="Arial"/>
          <w:b w:val="false"/>
          <w:i w:val="false"/>
          <w:caps w:val="false"/>
          <w:smallCaps w:val="false"/>
          <w:color w:val="040C28"/>
          <w:spacing w:val="0"/>
          <w:sz w:val="22"/>
          <w:szCs w:val="22"/>
        </w:rPr>
        <w:t>±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color w:val="000000"/>
          <w:spacing w:val="12"/>
          <w:sz w:val="22"/>
          <w:szCs w:val="22"/>
        </w:rPr>
        <w:t xml:space="preserve"> 0,3 mm/m,</w:t>
      </w:r>
    </w:p>
    <w:p>
      <w:pPr>
        <w:pStyle w:val="Normal"/>
        <w:numPr>
          <w:ilvl w:val="0"/>
          <w:numId w:val="0"/>
        </w:numPr>
        <w:tabs>
          <w:tab w:val="clear" w:pos="709"/>
          <w:tab w:val="decimal" w:pos="1512" w:leader="none"/>
          <w:tab w:val="right" w:pos="5749" w:leader="none"/>
        </w:tabs>
        <w:suppressAutoHyphens w:val="false"/>
        <w:bidi w:val="0"/>
        <w:spacing w:lineRule="auto" w:line="276" w:before="36" w:after="0"/>
        <w:ind w:hanging="0" w:star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2"/>
          <w:sz w:val="22"/>
          <w:szCs w:val="22"/>
        </w:rPr>
        <w:t xml:space="preserve">- </w:t>
      </w:r>
      <w:r>
        <w:rPr>
          <w:rFonts w:ascii="Arial" w:hAnsi="Arial"/>
          <w:color w:val="000000"/>
          <w:spacing w:val="16"/>
          <w:sz w:val="22"/>
          <w:szCs w:val="22"/>
        </w:rPr>
        <w:t xml:space="preserve">nachylenie                                         </w:t>
        <w:tab/>
        <w:t xml:space="preserve"> </w:t>
      </w:r>
      <w:r>
        <w:rPr>
          <w:rFonts w:ascii="Arial" w:hAnsi="Arial"/>
          <w:color w:val="000000"/>
          <w:spacing w:val="14"/>
          <w:sz w:val="22"/>
          <w:szCs w:val="22"/>
        </w:rPr>
        <w:t>T</w:t>
      </w:r>
      <w:r>
        <w:rPr>
          <w:rFonts w:ascii="Arial" w:hAnsi="Arial"/>
          <w:color w:val="000000"/>
          <w:spacing w:val="14"/>
          <w:position w:val="0"/>
          <w:sz w:val="22"/>
          <w:sz w:val="22"/>
          <w:szCs w:val="22"/>
          <w:vertAlign w:val="baseline"/>
        </w:rPr>
        <w:t>max</w:t>
      </w:r>
      <w:r>
        <w:rPr>
          <w:rFonts w:ascii="Arial" w:hAnsi="Arial"/>
          <w:color w:val="000000"/>
          <w:spacing w:val="14"/>
          <w:sz w:val="22"/>
          <w:szCs w:val="22"/>
        </w:rPr>
        <w:t xml:space="preserve">  =</w:t>
      </w:r>
      <w:r>
        <w:rPr>
          <w:rFonts w:ascii="Arial" w:hAnsi="Arial"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40C28"/>
          <w:spacing w:val="0"/>
          <w:sz w:val="22"/>
          <w:szCs w:val="22"/>
        </w:rPr>
        <w:t>±</w:t>
      </w:r>
      <w:r>
        <w:rPr>
          <w:rFonts w:ascii="Arial" w:hAnsi="Arial"/>
          <w:color w:val="000000"/>
          <w:spacing w:val="14"/>
          <w:sz w:val="22"/>
          <w:szCs w:val="22"/>
        </w:rPr>
        <w:t xml:space="preserve">  0,5 mm/m,</w:t>
      </w:r>
    </w:p>
    <w:p>
      <w:pPr>
        <w:pStyle w:val="Normal"/>
        <w:numPr>
          <w:ilvl w:val="0"/>
          <w:numId w:val="0"/>
        </w:numPr>
        <w:tabs>
          <w:tab w:val="clear" w:pos="709"/>
          <w:tab w:val="decimal" w:pos="1512" w:leader="none"/>
        </w:tabs>
        <w:suppressAutoHyphens w:val="false"/>
        <w:bidi w:val="0"/>
        <w:spacing w:lineRule="auto" w:line="276" w:before="36" w:after="0"/>
        <w:ind w:hanging="0" w:start="720"/>
        <w:jc w:val="both"/>
        <w:rPr>
          <w:rFonts w:ascii="Arial" w:hAnsi="Arial"/>
          <w:color w:val="000000"/>
          <w:spacing w:val="22"/>
          <w:sz w:val="22"/>
          <w:szCs w:val="22"/>
        </w:rPr>
      </w:pPr>
      <w:r>
        <w:rPr>
          <w:rFonts w:ascii="Arial" w:hAnsi="Arial"/>
          <w:color w:val="000000"/>
          <w:spacing w:val="22"/>
          <w:sz w:val="22"/>
          <w:szCs w:val="22"/>
        </w:rPr>
        <w:t xml:space="preserve">- promień krzywizny  </w:t>
        <w:tab/>
        <w:tab/>
        <w:tab/>
        <w:t>R</w:t>
      </w:r>
      <w:r>
        <w:rPr>
          <w:rFonts w:ascii="Arial" w:hAnsi="Arial"/>
          <w:color w:val="000000"/>
          <w:spacing w:val="22"/>
          <w:position w:val="0"/>
          <w:sz w:val="22"/>
          <w:sz w:val="22"/>
          <w:szCs w:val="22"/>
          <w:vertAlign w:val="baseline"/>
        </w:rPr>
        <w:t>min</w:t>
      </w:r>
      <w:r>
        <w:rPr>
          <w:rFonts w:ascii="Arial" w:hAnsi="Arial"/>
          <w:color w:val="000000"/>
          <w:spacing w:val="22"/>
          <w:sz w:val="22"/>
          <w:szCs w:val="22"/>
        </w:rPr>
        <w:t xml:space="preserve"> =</w:t>
      </w:r>
      <w:r>
        <w:rPr>
          <w:rFonts w:ascii="Arial" w:hAnsi="Arial"/>
          <w:color w:val="000000"/>
          <w:spacing w:val="12"/>
          <w:sz w:val="22"/>
          <w:szCs w:val="22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40C28"/>
          <w:spacing w:val="0"/>
          <w:sz w:val="22"/>
          <w:szCs w:val="22"/>
        </w:rPr>
        <w:t>±</w:t>
      </w:r>
      <w:r>
        <w:rPr>
          <w:rFonts w:ascii="Arial" w:hAnsi="Arial"/>
          <w:color w:val="000000"/>
          <w:spacing w:val="22"/>
          <w:sz w:val="22"/>
          <w:szCs w:val="22"/>
        </w:rPr>
        <w:t xml:space="preserve"> 40 km;</w:t>
      </w:r>
    </w:p>
    <w:p>
      <w:pPr>
        <w:pStyle w:val="Normal"/>
        <w:numPr>
          <w:ilvl w:val="0"/>
          <w:numId w:val="13"/>
        </w:numPr>
        <w:tabs>
          <w:tab w:val="clear" w:pos="709"/>
          <w:tab w:val="decimal" w:pos="432" w:leader="none"/>
        </w:tabs>
        <w:suppressAutoHyphens w:val="false"/>
        <w:bidi w:val="0"/>
        <w:spacing w:lineRule="auto" w:line="276" w:before="36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2"/>
          <w:sz w:val="22"/>
          <w:szCs w:val="22"/>
        </w:rPr>
        <w:t xml:space="preserve"> </w:t>
      </w:r>
      <w:r>
        <w:rPr>
          <w:rFonts w:ascii="Arial" w:hAnsi="Arial"/>
          <w:color w:val="000000"/>
          <w:spacing w:val="2"/>
          <w:sz w:val="22"/>
          <w:szCs w:val="22"/>
        </w:rPr>
        <w:t xml:space="preserve">teren inwestycji znajduje się w rejonie, w którym mogą wystąpić prędkości drgań gruntu do </w:t>
      </w:r>
      <w:r>
        <w:rPr>
          <w:rFonts w:ascii="Arial" w:hAnsi="Arial"/>
          <w:color w:val="000000"/>
          <w:spacing w:val="7"/>
          <w:sz w:val="22"/>
          <w:szCs w:val="22"/>
        </w:rPr>
        <w:t xml:space="preserve">5 mm/s, tj. 0-go stopnia intensywności sejsmicznej w skali GSIS-2017 - na skutek </w:t>
      </w:r>
      <w:r>
        <w:rPr>
          <w:rFonts w:ascii="Arial" w:hAnsi="Arial"/>
          <w:color w:val="000000"/>
          <w:spacing w:val="3"/>
          <w:sz w:val="22"/>
          <w:szCs w:val="22"/>
        </w:rPr>
        <w:t>wstrząsów sejsmicznych powodowanych działalnością górniczą.</w:t>
      </w:r>
    </w:p>
    <w:p>
      <w:pPr>
        <w:pStyle w:val="Normal"/>
        <w:numPr>
          <w:ilvl w:val="0"/>
          <w:numId w:val="13"/>
        </w:numPr>
        <w:tabs>
          <w:tab w:val="clear" w:pos="709"/>
          <w:tab w:val="decimal" w:pos="432" w:leader="none"/>
        </w:tabs>
        <w:suppressAutoHyphens w:val="false"/>
        <w:bidi w:val="0"/>
        <w:spacing w:lineRule="auto" w:line="276" w:before="36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4"/>
          <w:sz w:val="22"/>
          <w:szCs w:val="22"/>
        </w:rPr>
        <w:t xml:space="preserve">opiniowany teren znajduje się w zasięgu leja depresji wg stanu na czerwiec 2024 r. oraz w zasięgu prognozowanego do 2025 roku leja depresji. </w:t>
      </w:r>
      <w:r>
        <w:rPr>
          <w:rFonts w:ascii="Arial" w:hAnsi="Arial"/>
          <w:color w:val="000000"/>
          <w:spacing w:val="15"/>
          <w:sz w:val="22"/>
          <w:szCs w:val="22"/>
        </w:rPr>
        <w:t xml:space="preserve">Zwierciadło wód podziemnych w warunkach naturalnych w rejonie ww. terenu </w:t>
      </w:r>
      <w:r>
        <w:rPr>
          <w:rFonts w:ascii="Arial" w:hAnsi="Arial"/>
          <w:color w:val="000000"/>
          <w:spacing w:val="3"/>
          <w:sz w:val="22"/>
          <w:szCs w:val="22"/>
        </w:rPr>
        <w:t>występowało pierwotnie na rzędnej +212 m n.p.m.</w:t>
      </w:r>
    </w:p>
    <w:p>
      <w:pPr>
        <w:pStyle w:val="Normal"/>
        <w:bidi w:val="0"/>
        <w:spacing w:lineRule="auto" w:line="276" w:before="144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2"/>
          <w:sz w:val="22"/>
          <w:szCs w:val="22"/>
        </w:rPr>
        <w:t xml:space="preserve">Wnioskiem Wójt Gminy Lgota Wielka przedstawił Dyrektorowi Okręgowego Urzędu </w:t>
      </w:r>
      <w:r>
        <w:rPr>
          <w:rFonts w:ascii="Arial" w:hAnsi="Arial"/>
          <w:color w:val="000000"/>
          <w:sz w:val="22"/>
          <w:szCs w:val="22"/>
        </w:rPr>
        <w:t xml:space="preserve">Górniczego w Kielcach do uzgodnienia projekt decyzji o warunkach zabudowy dla inwestycji </w:t>
      </w:r>
      <w:r>
        <w:rPr>
          <w:rFonts w:ascii="Arial" w:hAnsi="Arial"/>
          <w:color w:val="000000"/>
          <w:spacing w:val="2"/>
          <w:sz w:val="22"/>
          <w:szCs w:val="22"/>
        </w:rPr>
        <w:t xml:space="preserve">polegającej na </w:t>
      </w:r>
      <w:r>
        <w:rPr>
          <w:rFonts w:cs="Arial" w:ascii="Arial" w:hAnsi="Arial"/>
          <w:color w:val="000000"/>
          <w:spacing w:val="2"/>
          <w:sz w:val="22"/>
          <w:szCs w:val="22"/>
        </w:rPr>
        <w:t>budowie  farmy fotowoltaicznej PV Krzywanice o mocy do 10,0 MW wraz z niezbędną infrastrukturą techniczną, placem manewrowym i przyłączem na części działek nr ewid. 467, 468, 469, 471, 464/1 (obręb Krzywanice), położonych w gminie Lgota Wielka,</w:t>
      </w:r>
    </w:p>
    <w:p>
      <w:pPr>
        <w:pStyle w:val="Normal"/>
        <w:bidi w:val="0"/>
        <w:spacing w:lineRule="auto" w:line="276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7"/>
          <w:sz w:val="22"/>
          <w:szCs w:val="22"/>
        </w:rPr>
        <w:t xml:space="preserve">Stosownie do dyspozycji art. 53 ust. 4 pkt 4 w związku z art. 64 ust. 1 „u.p.z.p.", Dyrektor Okręgowego Urzędu Górniczego w Kielcach jest organem uzgadniającym decyzje </w:t>
      </w:r>
      <w:r>
        <w:rPr>
          <w:rFonts w:ascii="Arial" w:hAnsi="Arial"/>
          <w:color w:val="000000"/>
          <w:spacing w:val="2"/>
          <w:sz w:val="22"/>
          <w:szCs w:val="22"/>
        </w:rPr>
        <w:t>w sprawach o ustalenie warunków zabudowy w odniesieniu do terenów górniczych.</w:t>
      </w:r>
    </w:p>
    <w:p>
      <w:pPr>
        <w:pStyle w:val="Normal"/>
        <w:bidi w:val="0"/>
        <w:spacing w:lineRule="auto" w:line="276"/>
        <w:ind w:start="720" w:end="0"/>
        <w:jc w:val="both"/>
        <w:rPr>
          <w:rFonts w:ascii="Arial" w:hAnsi="Arial"/>
          <w:color w:val="000000"/>
          <w:spacing w:val="2"/>
          <w:sz w:val="22"/>
          <w:szCs w:val="22"/>
        </w:rPr>
      </w:pPr>
      <w:r>
        <w:rPr>
          <w:rFonts w:ascii="Arial" w:hAnsi="Arial"/>
          <w:color w:val="000000"/>
          <w:spacing w:val="2"/>
          <w:sz w:val="22"/>
          <w:szCs w:val="22"/>
        </w:rPr>
        <w:t>Przeprowadzone rozpoznanie, w tym analiza:</w:t>
      </w:r>
    </w:p>
    <w:p>
      <w:pPr>
        <w:pStyle w:val="Normal"/>
        <w:bidi w:val="0"/>
        <w:spacing w:lineRule="auto" w:line="276"/>
        <w:ind w:start="288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2"/>
          <w:sz w:val="22"/>
          <w:szCs w:val="22"/>
        </w:rPr>
        <w:t xml:space="preserve">- opinii górniczo-geologicznej Nr 116/2024 z dnia 09.09.2024 r. zakładu górniczego KWB </w:t>
      </w:r>
      <w:r>
        <w:rPr>
          <w:rFonts w:ascii="Arial" w:hAnsi="Arial"/>
          <w:color w:val="000000"/>
          <w:sz w:val="22"/>
          <w:szCs w:val="22"/>
        </w:rPr>
        <w:t>„Bełchatów",</w:t>
      </w:r>
    </w:p>
    <w:p>
      <w:pPr>
        <w:pStyle w:val="Normal"/>
        <w:bidi w:val="0"/>
        <w:spacing w:lineRule="auto" w:line="276"/>
        <w:ind w:start="288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2"/>
          <w:sz w:val="22"/>
          <w:szCs w:val="22"/>
        </w:rPr>
        <w:t xml:space="preserve">- </w:t>
      </w:r>
      <w:r>
        <w:rPr>
          <w:rFonts w:ascii="Arial" w:hAnsi="Arial"/>
          <w:color w:val="000000"/>
          <w:spacing w:val="6"/>
          <w:sz w:val="22"/>
          <w:szCs w:val="22"/>
        </w:rPr>
        <w:t xml:space="preserve">planu ruchu odkrywkowego Zakładu Górniczego KWB ,Bełchatów" - Pole Bełchatów, </w:t>
      </w:r>
      <w:r>
        <w:rPr>
          <w:rFonts w:ascii="Arial" w:hAnsi="Arial"/>
          <w:color w:val="000000"/>
          <w:spacing w:val="3"/>
          <w:sz w:val="22"/>
          <w:szCs w:val="22"/>
        </w:rPr>
        <w:t xml:space="preserve">sporządzonego na okres: 1.01.2024 r. - 31.12.2026 r., zatwierdzonego decyzją Dyrektora </w:t>
      </w:r>
      <w:r>
        <w:rPr>
          <w:rFonts w:ascii="Arial" w:hAnsi="Arial"/>
          <w:color w:val="000000"/>
          <w:spacing w:val="29"/>
          <w:sz w:val="22"/>
          <w:szCs w:val="22"/>
        </w:rPr>
        <w:t xml:space="preserve">Okręgowego Urzędu Górniczego w Kielcach z dnia 28.12.2023 r., znak </w:t>
      </w:r>
      <w:r>
        <w:rPr>
          <w:rFonts w:ascii="Arial" w:hAnsi="Arial"/>
          <w:color w:val="000000"/>
          <w:spacing w:val="2"/>
          <w:sz w:val="22"/>
          <w:szCs w:val="22"/>
        </w:rPr>
        <w:t>KIE.9202.79.2023.NB,</w:t>
      </w:r>
    </w:p>
    <w:p>
      <w:pPr>
        <w:pStyle w:val="Normal"/>
        <w:bidi w:val="0"/>
        <w:spacing w:lineRule="auto" w:line="276"/>
        <w:ind w:start="288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2"/>
          <w:sz w:val="22"/>
          <w:szCs w:val="22"/>
        </w:rPr>
        <w:t xml:space="preserve">- </w:t>
      </w:r>
      <w:r>
        <w:rPr>
          <w:rFonts w:ascii="Arial" w:hAnsi="Arial"/>
          <w:color w:val="000000"/>
          <w:spacing w:val="6"/>
          <w:sz w:val="22"/>
          <w:szCs w:val="22"/>
        </w:rPr>
        <w:t xml:space="preserve">planu ruchu odkrywkowego Zakładu Górniczego KWB ,Bełchatów" - Pole Szczerców, </w:t>
      </w:r>
      <w:r>
        <w:rPr>
          <w:rFonts w:ascii="Arial" w:hAnsi="Arial"/>
          <w:color w:val="000000"/>
          <w:spacing w:val="3"/>
          <w:sz w:val="22"/>
          <w:szCs w:val="22"/>
        </w:rPr>
        <w:t xml:space="preserve">sporządzonego na okres: 1.01.2024 r. - 31.12.2028 r., zatwierdzonego decyzją Dyrektora </w:t>
      </w:r>
      <w:r>
        <w:rPr>
          <w:rFonts w:ascii="Arial" w:hAnsi="Arial"/>
          <w:color w:val="000000"/>
          <w:spacing w:val="29"/>
          <w:sz w:val="22"/>
          <w:szCs w:val="22"/>
        </w:rPr>
        <w:t xml:space="preserve">Okręgowego Urzędu Górniczego w Kielcach z dnia 28.12.2023 r., znak </w:t>
      </w:r>
      <w:r>
        <w:rPr>
          <w:rFonts w:ascii="Arial" w:hAnsi="Arial"/>
          <w:color w:val="000000"/>
          <w:spacing w:val="2"/>
          <w:sz w:val="22"/>
          <w:szCs w:val="22"/>
        </w:rPr>
        <w:t>KIE.9202.80.2023.PS,</w:t>
      </w:r>
    </w:p>
    <w:p>
      <w:pPr>
        <w:pStyle w:val="Normal"/>
        <w:bidi w:val="0"/>
        <w:spacing w:lineRule="auto" w:line="276"/>
        <w:ind w:start="288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6"/>
          <w:sz w:val="22"/>
          <w:szCs w:val="22"/>
        </w:rPr>
        <w:t xml:space="preserve">- </w:t>
      </w:r>
      <w:r>
        <w:rPr>
          <w:rFonts w:ascii="Arial" w:hAnsi="Arial"/>
          <w:color w:val="000000"/>
          <w:sz w:val="22"/>
          <w:szCs w:val="22"/>
        </w:rPr>
        <w:t xml:space="preserve">koncesji Ministra Ochrony Środowiska, Zasobów Naturalnych i Leśnictwa nr 120/94 z dnia </w:t>
      </w:r>
      <w:r>
        <w:rPr>
          <w:rFonts w:ascii="Arial" w:hAnsi="Arial"/>
          <w:color w:val="000000"/>
          <w:spacing w:val="11"/>
          <w:sz w:val="22"/>
          <w:szCs w:val="22"/>
        </w:rPr>
        <w:t xml:space="preserve">8.08.1994 r., data ważności koncesji 31.12.2026 r., na wydobywanie węgla brunatnego </w:t>
      </w:r>
      <w:r>
        <w:rPr>
          <w:rFonts w:ascii="Arial" w:hAnsi="Arial"/>
          <w:color w:val="000000"/>
          <w:spacing w:val="3"/>
          <w:sz w:val="22"/>
          <w:szCs w:val="22"/>
        </w:rPr>
        <w:t>i kopalin towarzyszących ze złoża „Bełchatów - Pole Bełchatów",</w:t>
      </w:r>
    </w:p>
    <w:p>
      <w:pPr>
        <w:pStyle w:val="Normal"/>
        <w:bidi w:val="0"/>
        <w:spacing w:lineRule="auto" w:line="276"/>
        <w:ind w:start="288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6"/>
          <w:sz w:val="22"/>
          <w:szCs w:val="22"/>
        </w:rPr>
        <w:t xml:space="preserve">- </w:t>
      </w:r>
      <w:r>
        <w:rPr>
          <w:rFonts w:ascii="Arial" w:hAnsi="Arial"/>
          <w:color w:val="000000"/>
          <w:spacing w:val="3"/>
          <w:sz w:val="22"/>
          <w:szCs w:val="22"/>
        </w:rPr>
        <w:t>koncesji Ministra Ochrony Środowiska, Zasobów Naturalnych i Leśnictwa nr 25/97 z dnia 1.10.1997</w:t>
      </w:r>
      <w:r>
        <w:rPr>
          <w:rFonts w:ascii="Arial" w:hAnsi="Arial"/>
          <w:color w:val="000000"/>
          <w:spacing w:val="11"/>
          <w:sz w:val="22"/>
          <w:szCs w:val="22"/>
        </w:rPr>
        <w:t xml:space="preserve"> r., data ważności koncesji 17.09.2038 r., na wydobywanie węgla brunatnego </w:t>
      </w:r>
      <w:r>
        <w:rPr>
          <w:rFonts w:ascii="Arial" w:hAnsi="Arial"/>
          <w:color w:val="000000"/>
          <w:spacing w:val="3"/>
          <w:sz w:val="22"/>
          <w:szCs w:val="22"/>
        </w:rPr>
        <w:t>i kopalin towarzyszących ze złoża „Bełchatów - Pole Szczerców",</w:t>
      </w:r>
    </w:p>
    <w:p>
      <w:pPr>
        <w:pStyle w:val="Normal"/>
        <w:bidi w:val="0"/>
        <w:spacing w:lineRule="auto" w:line="276" w:before="36" w:after="0"/>
        <w:ind w:start="288" w:end="0"/>
        <w:jc w:val="both"/>
        <w:rPr>
          <w:rFonts w:ascii="Arial" w:hAnsi="Arial"/>
          <w:color w:val="000000"/>
          <w:spacing w:val="2"/>
          <w:sz w:val="22"/>
          <w:szCs w:val="22"/>
        </w:rPr>
      </w:pPr>
      <w:r>
        <w:rPr>
          <w:rFonts w:ascii="Arial" w:hAnsi="Arial"/>
          <w:color w:val="000000"/>
          <w:spacing w:val="2"/>
          <w:sz w:val="22"/>
          <w:szCs w:val="22"/>
        </w:rPr>
        <w:t>- przedmiotowego projektu decyzji,</w:t>
      </w:r>
    </w:p>
    <w:p>
      <w:pPr>
        <w:pStyle w:val="Normal"/>
        <w:bidi w:val="0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9"/>
          <w:sz w:val="22"/>
          <w:szCs w:val="22"/>
        </w:rPr>
        <w:t xml:space="preserve">wykazało że obszar, na którym zlokalizowano przedmiotową inwestycję, usytuowany jest </w:t>
      </w:r>
      <w:r>
        <w:rPr>
          <w:rFonts w:ascii="Arial" w:hAnsi="Arial"/>
          <w:color w:val="000000"/>
          <w:spacing w:val="3"/>
          <w:sz w:val="22"/>
          <w:szCs w:val="22"/>
        </w:rPr>
        <w:t>w granicach terenu górniczego „Pole Bełchatów" i „Pole Szczerców".</w:t>
      </w:r>
    </w:p>
    <w:p>
      <w:pPr>
        <w:pStyle w:val="Normal"/>
        <w:bidi w:val="0"/>
        <w:spacing w:lineRule="auto" w:line="276" w:before="36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15"/>
          <w:sz w:val="22"/>
          <w:szCs w:val="22"/>
        </w:rPr>
        <w:t xml:space="preserve">Granice ww. terenu górniczego określają zasięg odkształcenia powierzchni, </w:t>
      </w:r>
      <w:r>
        <w:rPr>
          <w:rFonts w:ascii="Arial" w:hAnsi="Arial"/>
          <w:color w:val="000000"/>
          <w:spacing w:val="11"/>
          <w:sz w:val="22"/>
          <w:szCs w:val="22"/>
        </w:rPr>
        <w:t xml:space="preserve">występowanie deformacji terenu i możliwość wystąpienia drgań gruntu. Parametry wpływów określono w sentencji postanowienia na podstawie opinii geologiczno-górniczej. </w:t>
      </w:r>
    </w:p>
    <w:p>
      <w:pPr>
        <w:pStyle w:val="Normal"/>
        <w:bidi w:val="0"/>
        <w:spacing w:lineRule="auto" w:line="276" w:before="36" w:after="0"/>
        <w:ind w:firstLine="432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9"/>
          <w:sz w:val="22"/>
          <w:szCs w:val="22"/>
        </w:rPr>
        <w:t xml:space="preserve">Opiniowany teren położony jest w odległości około 8,6 km w stosunku do granic </w:t>
      </w:r>
      <w:r>
        <w:rPr>
          <w:rFonts w:ascii="Arial" w:hAnsi="Arial"/>
          <w:color w:val="000000"/>
          <w:spacing w:val="3"/>
          <w:sz w:val="22"/>
          <w:szCs w:val="22"/>
        </w:rPr>
        <w:t xml:space="preserve">udokumentowanego złoża węgla brunatnego „Bełchatów - Pole Bełchatów" oraz w odległości około 8,4 km </w:t>
      </w:r>
      <w:r>
        <w:rPr>
          <w:rFonts w:ascii="Arial" w:hAnsi="Arial"/>
          <w:color w:val="000000"/>
          <w:spacing w:val="9"/>
          <w:sz w:val="22"/>
          <w:szCs w:val="22"/>
        </w:rPr>
        <w:t xml:space="preserve">w stosunku do granic </w:t>
      </w:r>
      <w:r>
        <w:rPr>
          <w:rFonts w:ascii="Arial" w:hAnsi="Arial"/>
          <w:color w:val="000000"/>
          <w:spacing w:val="3"/>
          <w:sz w:val="22"/>
          <w:szCs w:val="22"/>
        </w:rPr>
        <w:t>udokumentowanego złoża węgla brunatnego „Bełchatów - Pole Szczerców"</w:t>
      </w:r>
    </w:p>
    <w:p>
      <w:pPr>
        <w:pStyle w:val="Normal"/>
        <w:bidi w:val="0"/>
        <w:spacing w:lineRule="auto" w:line="276" w:before="36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20"/>
          <w:sz w:val="22"/>
          <w:szCs w:val="22"/>
        </w:rPr>
        <w:t xml:space="preserve">W stosunku do granicy frontu eksploatacyjnego Kopalni Węgla Brunatnego </w:t>
      </w:r>
      <w:r>
        <w:rPr>
          <w:rFonts w:ascii="Arial" w:hAnsi="Arial"/>
          <w:color w:val="000000"/>
          <w:spacing w:val="3"/>
          <w:sz w:val="22"/>
          <w:szCs w:val="22"/>
        </w:rPr>
        <w:t>„Bełchatów" - Pole „Bełchatów" ww. teren znajduje się w odległościach:</w:t>
      </w:r>
    </w:p>
    <w:p>
      <w:pPr>
        <w:pStyle w:val="Normal"/>
        <w:numPr>
          <w:ilvl w:val="0"/>
          <w:numId w:val="14"/>
        </w:numPr>
        <w:tabs>
          <w:tab w:val="clear" w:pos="709"/>
          <w:tab w:val="decimal" w:pos="1224" w:leader="none"/>
        </w:tabs>
        <w:suppressAutoHyphens w:val="false"/>
        <w:bidi w:val="0"/>
        <w:spacing w:lineRule="auto" w:line="276" w:before="72" w:after="0"/>
        <w:ind w:hanging="0" w:start="432" w:end="0"/>
        <w:jc w:val="both"/>
        <w:rPr>
          <w:rFonts w:ascii="Arial" w:hAnsi="Arial"/>
          <w:color w:val="000000"/>
          <w:spacing w:val="14"/>
          <w:sz w:val="22"/>
          <w:szCs w:val="22"/>
        </w:rPr>
      </w:pPr>
      <w:r>
        <w:rPr>
          <w:rFonts w:ascii="Arial" w:hAnsi="Arial"/>
          <w:color w:val="000000"/>
          <w:spacing w:val="14"/>
          <w:sz w:val="22"/>
          <w:szCs w:val="22"/>
        </w:rPr>
        <w:t>aktualnie - około 7,0 km,</w:t>
      </w:r>
    </w:p>
    <w:p>
      <w:pPr>
        <w:pStyle w:val="Normal"/>
        <w:numPr>
          <w:ilvl w:val="0"/>
          <w:numId w:val="14"/>
        </w:numPr>
        <w:tabs>
          <w:tab w:val="clear" w:pos="709"/>
          <w:tab w:val="decimal" w:pos="1224" w:leader="none"/>
        </w:tabs>
        <w:suppressAutoHyphens w:val="false"/>
        <w:bidi w:val="0"/>
        <w:spacing w:lineRule="auto" w:line="276"/>
        <w:ind w:hanging="0" w:start="432" w:end="0"/>
        <w:jc w:val="both"/>
        <w:rPr>
          <w:rFonts w:ascii="Arial" w:hAnsi="Arial"/>
          <w:color w:val="000000"/>
          <w:spacing w:val="14"/>
          <w:sz w:val="22"/>
          <w:szCs w:val="22"/>
        </w:rPr>
      </w:pPr>
      <w:r>
        <w:rPr>
          <w:rFonts w:ascii="Arial" w:hAnsi="Arial"/>
          <w:color w:val="000000"/>
          <w:spacing w:val="14"/>
          <w:sz w:val="22"/>
          <w:szCs w:val="22"/>
        </w:rPr>
        <w:t>docelowo - około 7,0 km.</w:t>
      </w:r>
    </w:p>
    <w:p>
      <w:pPr>
        <w:pStyle w:val="Normal"/>
        <w:bidi w:val="0"/>
        <w:spacing w:lineRule="auto" w:line="276" w:before="36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20"/>
          <w:sz w:val="22"/>
          <w:szCs w:val="22"/>
        </w:rPr>
        <w:t xml:space="preserve">W stosunku do granicy frontu eksploatacyjnego Kopalni Węgla Brunatnego </w:t>
      </w:r>
      <w:r>
        <w:rPr>
          <w:rFonts w:ascii="Arial" w:hAnsi="Arial"/>
          <w:color w:val="000000"/>
          <w:spacing w:val="3"/>
          <w:sz w:val="22"/>
          <w:szCs w:val="22"/>
        </w:rPr>
        <w:t>„Bełchatów" - „Pole Szczerców" ww. teren znajduje się w odległościach:</w:t>
      </w:r>
    </w:p>
    <w:p>
      <w:pPr>
        <w:pStyle w:val="Normal"/>
        <w:numPr>
          <w:ilvl w:val="0"/>
          <w:numId w:val="14"/>
        </w:numPr>
        <w:tabs>
          <w:tab w:val="clear" w:pos="709"/>
          <w:tab w:val="decimal" w:pos="1224" w:leader="none"/>
        </w:tabs>
        <w:suppressAutoHyphens w:val="false"/>
        <w:bidi w:val="0"/>
        <w:spacing w:lineRule="auto" w:line="276" w:before="72" w:after="0"/>
        <w:ind w:hanging="0" w:start="432" w:end="0"/>
        <w:jc w:val="both"/>
        <w:rPr>
          <w:rFonts w:ascii="Arial" w:hAnsi="Arial"/>
          <w:color w:val="000000"/>
          <w:spacing w:val="14"/>
          <w:sz w:val="22"/>
          <w:szCs w:val="22"/>
        </w:rPr>
      </w:pPr>
      <w:r>
        <w:rPr>
          <w:rFonts w:ascii="Arial" w:hAnsi="Arial"/>
          <w:color w:val="000000"/>
          <w:spacing w:val="14"/>
          <w:sz w:val="22"/>
          <w:szCs w:val="22"/>
        </w:rPr>
        <w:t>aktualnie - około 8,1 km,</w:t>
      </w:r>
    </w:p>
    <w:p>
      <w:pPr>
        <w:pStyle w:val="Normal"/>
        <w:numPr>
          <w:ilvl w:val="0"/>
          <w:numId w:val="14"/>
        </w:numPr>
        <w:tabs>
          <w:tab w:val="clear" w:pos="709"/>
          <w:tab w:val="decimal" w:pos="1224" w:leader="none"/>
        </w:tabs>
        <w:suppressAutoHyphens w:val="false"/>
        <w:bidi w:val="0"/>
        <w:spacing w:lineRule="auto" w:line="276"/>
        <w:ind w:hanging="0" w:start="432" w:end="0"/>
        <w:jc w:val="both"/>
        <w:rPr>
          <w:rFonts w:ascii="Arial" w:hAnsi="Arial"/>
          <w:color w:val="000000"/>
          <w:spacing w:val="14"/>
          <w:sz w:val="22"/>
          <w:szCs w:val="22"/>
        </w:rPr>
      </w:pPr>
      <w:r>
        <w:rPr>
          <w:rFonts w:ascii="Arial" w:hAnsi="Arial"/>
          <w:color w:val="000000"/>
          <w:spacing w:val="4"/>
          <w:sz w:val="22"/>
          <w:szCs w:val="22"/>
        </w:rPr>
        <w:t>docelowo - około 8,1 km.</w:t>
      </w:r>
    </w:p>
    <w:p>
      <w:pPr>
        <w:pStyle w:val="Normal"/>
        <w:bidi w:val="0"/>
        <w:spacing w:lineRule="auto" w:line="276" w:before="36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pacing w:val="4"/>
          <w:sz w:val="22"/>
          <w:szCs w:val="22"/>
        </w:rPr>
        <w:t xml:space="preserve">0 stopień intensywności sejsmicznej w skali GSIS-2017 powoduje nieodczuwalność </w:t>
      </w:r>
      <w:r>
        <w:rPr>
          <w:rFonts w:ascii="Arial" w:hAnsi="Arial"/>
          <w:color w:val="000000"/>
          <w:spacing w:val="12"/>
          <w:sz w:val="22"/>
          <w:szCs w:val="22"/>
        </w:rPr>
        <w:t>drgań przez ludzi bądź słabą odczuwalność. Potencjalnie nie powoduje żadnych szkód</w:t>
      </w:r>
      <w:r>
        <w:rPr>
          <w:rFonts w:ascii="Arial" w:hAnsi="Arial"/>
          <w:color w:val="000000"/>
          <w:spacing w:val="4"/>
          <w:sz w:val="22"/>
          <w:szCs w:val="22"/>
        </w:rPr>
        <w:t xml:space="preserve"> </w:t>
      </w:r>
      <w:r>
        <w:rPr>
          <w:rFonts w:ascii="Arial" w:hAnsi="Arial"/>
          <w:color w:val="000000"/>
          <w:spacing w:val="2"/>
          <w:sz w:val="22"/>
          <w:szCs w:val="22"/>
        </w:rPr>
        <w:t>budynków tj. stopień szkodliwości drgań S</w:t>
      </w:r>
      <w:r>
        <w:rPr>
          <w:rFonts w:ascii="Arial" w:hAnsi="Arial"/>
          <w:color w:val="000000"/>
          <w:spacing w:val="2"/>
          <w:sz w:val="22"/>
          <w:szCs w:val="22"/>
          <w:vertAlign w:val="subscript"/>
        </w:rPr>
        <w:t>o</w:t>
      </w:r>
      <w:r>
        <w:rPr>
          <w:rFonts w:ascii="Arial" w:hAnsi="Arial"/>
          <w:color w:val="000000"/>
          <w:spacing w:val="2"/>
          <w:sz w:val="22"/>
          <w:szCs w:val="22"/>
        </w:rPr>
        <w:t>.</w:t>
      </w:r>
    </w:p>
    <w:p>
      <w:pPr>
        <w:pStyle w:val="Normal"/>
        <w:bidi w:val="0"/>
        <w:spacing w:lineRule="auto" w:line="276" w:before="36" w:after="0"/>
        <w:ind w:firstLine="720" w:end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W świetle powyższych ustaleń, uwzględnienie podanych w rozstrzygnięciu czynników </w:t>
      </w:r>
      <w:r>
        <w:rPr>
          <w:rFonts w:ascii="Arial" w:hAnsi="Arial"/>
          <w:color w:val="000000"/>
          <w:spacing w:val="2"/>
          <w:sz w:val="22"/>
          <w:szCs w:val="22"/>
        </w:rPr>
        <w:t>geologiczno-górniczych przy podejmowaniu decyzji o ustaleniu warunków zabudowy ma na celu zapewnienie bezpieczeństwa konstrukcji i użytkowania projektowanego obiektu usytuowanego na terenie górniczym.</w:t>
      </w:r>
    </w:p>
    <w:p>
      <w:pPr>
        <w:pStyle w:val="Heading2"/>
        <w:numPr>
          <w:ilvl w:val="1"/>
          <w:numId w:val="3"/>
        </w:numPr>
        <w:bidi w:val="0"/>
        <w:spacing w:lineRule="auto" w:line="276"/>
        <w:ind w:hanging="0" w:start="0" w:end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Uzasadnienie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color w:val="FF0000"/>
          <w:sz w:val="22"/>
          <w:szCs w:val="22"/>
        </w:rPr>
      </w:pPr>
      <w:r>
        <w:rPr>
          <w:rFonts w:cs="Arial" w:ascii="Arial" w:hAnsi="Arial"/>
          <w:color w:val="FF0000"/>
          <w:sz w:val="22"/>
          <w:szCs w:val="22"/>
        </w:rPr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MQ Energy Sp. z o.o., ul. Bukowa 24, 43-100 Tychy  w dniu 31 maja 2024 r., (data uzupełnienia 1 lipca 2024 r.), wystąpiła z wnioskiem w sprawie wydania decyzji o warunkach zabudowy dla zadania inwestycyjnego polegającego na budowie farmy fotowoltaicznej PV Krzywanice o mocy do 10,0 MW wraz z niezbędną infrastrukturą techniczną, placem manewrowym i przyłączem na części działek o nr ewid. 467, 468, 469, 471, 464/1 (obręb Krzywanice), położonych w gminie Lgota Wielka. </w:t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 uwagi na brak miejscowego planu zagospodarowania przestrzennego dla terenu, na którym planowana jest ww. inwestycja, warunki zabudowy dla części działek określonych we wniosku, ustala się na podstawie art. 61 ustawy z dnia 27 marca 2003 r. o planowaniu i zagospodarowaniu przestrzennym, zgodnie z Rozporządzeniem Ministra Infrastruktury z dnia 26 sierpnia 2003 r. w sprawie sposobu ustalania wymagań dotyczących nowej zabudowy i zagospodarowania terenu w przypadku braku miejscowego planu zagospodarowania przestrzennego (Dz. U. Nr 164, poz. 1588).</w:t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 wniosku dołączono decyzję Wójta Gminy Lgota Wielka, znak: RIG.OSR.6220.1.2021 z dnia 04.12.2023 r., ustalającą środowiskowe uwarunkowania dla przedsięwzięcia polegającego na budowie farmy fotowoltaicznej PV Krzywanice o mocy do 10 MW realizowanej w granicach działek o nr ew.: 467, 468, 469, 471, 464/1 obręb Krzywanice (woj. łódzkie, gm. Lgota Wielka) wraz z niezbędną infrastrukturą techniczną, placem manewrowym i przyłączem poprzez określenie konieczności spełnienia następujących warunków korzystania ze środowiska w fazie realizacji, eksploatacji i likwidacji przedsięwzięcia.</w:t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Zgodnie z przepisami art. 60 ust. 4, ustawy o planowaniu i zagospodarowaniu przestrzennym, projekt decyzji został sporządzony przez osobę o której mowa w art. 5 u.p.z.p.</w:t>
      </w:r>
    </w:p>
    <w:p>
      <w:pPr>
        <w:pStyle w:val="WW-Tekstpodstawowywcity3"/>
        <w:bidi w:val="0"/>
        <w:spacing w:lineRule="auto" w:line="27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 związku z wejściem w życie ustawy z dnia z dnia 19 lipca 2019 r. o zmianie ustawy o odnawialnych źródłach energii oraz niektórych innych ustaw (Dz. U. z 2019 r. poz. 1524), które zmieniły art. 61 ust. 3 ustawy z dnia 27 marca 2003 r. o planowaniu i zagospodarowaniu przestrzennym przepisów ust. 1 pkt 1 i 2 nie stosuje się do instalacji odnawialnego źródła energii w rozumieniu art. 2 pkt 13 ustawy z dnia 20 lutego 2015 r. o odnawialnych źródłach energii.</w:t>
      </w:r>
    </w:p>
    <w:p>
      <w:pPr>
        <w:pStyle w:val="WW-Tekstpodstawowywcity3"/>
        <w:bidi w:val="0"/>
        <w:spacing w:lineRule="auto" w:line="276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Farma fotowoltaiczna wraz z niezbędną infrastrukturą techniczną zalicza się do instalacji odnawialnego źródła energii </w:t>
      </w:r>
      <w:r>
        <w:rPr>
          <w:rFonts w:cs="Arial" w:ascii="Arial" w:hAnsi="Arial"/>
          <w:iCs/>
          <w:sz w:val="22"/>
          <w:szCs w:val="22"/>
        </w:rPr>
        <w:t>w rozumieniu art. 2 pkt 13 ustawy z dnia 20 lutego  2015 r. o odnawialnych źródłach energii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Po dokonaniu analizy warunków i zasad zagospodarowania terenu oraz jego zabudowy wynikających z przepisów odrębnych oraz analizie stanu faktycznego a także, zgodnie z art. 53 ust. 4 ustawy z dnia 27 marca 2003 r. o planowaniu i zagospodarowaniu przestrzennym, po uzgodnieniu decyzji z: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Starostą Radomszczańskim</w:t>
      </w:r>
      <w:r>
        <w:rPr>
          <w:rFonts w:cs="Arial" w:ascii="Arial" w:hAnsi="Arial"/>
          <w:color w:val="000000"/>
          <w:sz w:val="22"/>
          <w:szCs w:val="22"/>
        </w:rPr>
        <w:t>, zgodnie z art. 53 ust. 5 ustawy z dnia 27 marca 2003 r. o planowaniu i zagospodarowaniu przestrzennym - uzgodnienie uważa się za dokonane, gdyż Urząd nie zajął stanowiska w terminie 2 tygodni od dnia doręczenia,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Dyrektorem Zarządu Zlewni w Sieradzu Państwowego Gospodarstwa Wodnego </w:t>
      </w:r>
    </w:p>
    <w:p>
      <w:pPr>
        <w:pStyle w:val="Normal"/>
        <w:tabs>
          <w:tab w:val="clear" w:pos="709"/>
          <w:tab w:val="left" w:pos="1134" w:leader="none"/>
        </w:tabs>
        <w:bidi w:val="0"/>
        <w:spacing w:lineRule="auto" w:line="276"/>
        <w:ind w:start="567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Wody Polskie</w:t>
      </w:r>
      <w:r>
        <w:rPr>
          <w:rFonts w:cs="Arial" w:ascii="Arial" w:hAnsi="Arial"/>
          <w:color w:val="000000"/>
          <w:sz w:val="22"/>
          <w:szCs w:val="22"/>
        </w:rPr>
        <w:t>, zgodnie z art. 53 ust. 5 ustawy z dnia 27 marca 2003 r. o planowaniu i zagospodarowaniu przestrzennym - uzgodnienie uważa się za dokonane, gdyż Urząd nie zajął stanowiska w terminie 2 tygodni od dnia doręczenia,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Marszałkiem Województwa Łódzkiego, postanowieniem z dnia 4.09.2024 r., znak: GKIII.7634.4439.2024.AR,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Okręgowym Urzędem Górniczym w Kielcach, postanowieniem z dnia 10.09.2024 r., znak: KIE.5121.360.2024.WW,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567" w:leader="none"/>
        </w:tabs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Państwowym Powiatowym Inspektorem Sanitarnym w Radomsku</w:t>
      </w:r>
      <w:r>
        <w:rPr>
          <w:rFonts w:cs="Arial" w:ascii="Arial" w:hAnsi="Arial"/>
          <w:color w:val="000000"/>
          <w:sz w:val="22"/>
          <w:szCs w:val="22"/>
        </w:rPr>
        <w:t>, zgodnie z art. 53 ust. 5 ustawy z dnia 27 marca 2003 r. o planowaniu i zagospodarowaniu przestrzennym - uzgodnienie uważa się za dokonane, gdyż Urząd nie zajął stanowiska w terminie 2 tygodni od dnia doręczenia,</w:t>
      </w:r>
    </w:p>
    <w:p>
      <w:pPr>
        <w:pStyle w:val="Normal"/>
        <w:bidi w:val="0"/>
        <w:spacing w:lineRule="auto" w:line="276"/>
        <w:ind w:start="60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oraz po stwierdzeniu, że wnioskowana inwestycja spełnia łącznie warunki określone w art. 61 ust. 1 w związku z art. 61 ust. 5 należało orzec jak w sentencji. 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cs="Arial" w:ascii="Arial" w:hAnsi="Arial"/>
          <w:b/>
          <w:bCs/>
          <w:color w:val="FF0000"/>
          <w:sz w:val="22"/>
          <w:szCs w:val="22"/>
        </w:rPr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Pouczenie:</w:t>
      </w:r>
    </w:p>
    <w:p>
      <w:pPr>
        <w:pStyle w:val="Normal"/>
        <w:bidi w:val="0"/>
        <w:spacing w:lineRule="auto" w:line="276"/>
        <w:jc w:val="start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Niniejsza decyzja wygaśnie jeżeli zostanie uchwalony miejscowy plan zagospodarowania przestrzennego lub jego zmiana zawierająca ustalenia inne niż ustalenia decyzji z wyjątkiem przypadku, gdy zostanie wydana ostateczna decyzja o pozwoleniu na budowę (art. 65 ustawy o planowaniu i zagospodarowaniu przestrzennym).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Zgodnie z art. 55 ustawy o planowaniu i zagospodarowaniu przestrzennym niniejsza decyzja wiąże organ wydający decyzje o pozwoleniu na budowę.</w:t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Od niniejszej decyzji przysługuje stronom prawo wniesienia odwołania do Samorządowego Kolegium Odwoławczego w Piotrkowie Trybunalskim za pośrednictwem Wójta Gminy Lgota Wielka w terminie 14– tu dni od daty jej doręczenia.</w:t>
      </w:r>
    </w:p>
    <w:p>
      <w:pPr>
        <w:pStyle w:val="Normal"/>
        <w:bidi w:val="0"/>
        <w:spacing w:lineRule="auto" w:line="276"/>
        <w:ind w:firstLine="700" w:end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cs="Arial" w:ascii="Arial" w:hAnsi="Arial"/>
          <w:sz w:val="22"/>
          <w:szCs w:val="22"/>
          <w:u w:val="single"/>
        </w:rPr>
      </w:r>
    </w:p>
    <w:p>
      <w:pPr>
        <w:pStyle w:val="Normal"/>
        <w:bidi w:val="0"/>
        <w:spacing w:lineRule="auto" w:line="276"/>
        <w:ind w:firstLine="709" w:end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Zgodnie z art. 127a §1, §2 ustawy</w:t>
      </w:r>
      <w:r>
        <w:rPr>
          <w:rFonts w:cs="Arial" w:ascii="Arial" w:hAnsi="Arial"/>
          <w:sz w:val="22"/>
          <w:szCs w:val="22"/>
        </w:rPr>
        <w:t xml:space="preserve"> z dnia 14 czerwca 1960 r. Kodeks postępowania administracyjnego, w trakcie biegu terminu do wniesienia odwołania strona może zrzec się prawa do wniesienia odwołania. Z dniem doręczenia tutejszemu organowi oświadczenia o zrzeczeniu się prawa do wniesienia odwołania przez ostatnią ze stron postępowania, decyzja staje się ostateczna i prawomocna.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>
        <w:rPr>
          <w:rFonts w:cs="Arial" w:ascii="Arial" w:hAnsi="Arial"/>
          <w:color w:val="FF0000"/>
          <w:sz w:val="22"/>
          <w:szCs w:val="22"/>
          <w:u w:val="single"/>
        </w:rPr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Załączniki:</w:t>
      </w:r>
    </w:p>
    <w:p>
      <w:pPr>
        <w:pStyle w:val="Normal"/>
        <w:numPr>
          <w:ilvl w:val="0"/>
          <w:numId w:val="14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Zał. Nr 1 sporządzony na mapie ewidencyjnej w skali 1:1000; </w:t>
      </w:r>
    </w:p>
    <w:p>
      <w:pPr>
        <w:pStyle w:val="Normal"/>
        <w:numPr>
          <w:ilvl w:val="0"/>
          <w:numId w:val="14"/>
        </w:numPr>
        <w:bidi w:val="0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Wyniki analizy - część tekstowa – zał. Nr 1a;</w:t>
      </w:r>
    </w:p>
    <w:p>
      <w:pPr>
        <w:pStyle w:val="Normal"/>
        <w:tabs>
          <w:tab w:val="clear" w:pos="709"/>
          <w:tab w:val="left" w:pos="1004" w:leader="none"/>
        </w:tabs>
        <w:bidi w:val="0"/>
        <w:spacing w:lineRule="auto" w:line="276"/>
        <w:ind w:hanging="720" w:start="720" w:end="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       </w:t>
      </w:r>
      <w:r>
        <w:rPr>
          <w:rFonts w:cs="Arial" w:ascii="Arial" w:hAnsi="Arial"/>
          <w:sz w:val="22"/>
          <w:szCs w:val="22"/>
        </w:rPr>
        <w:t xml:space="preserve">- część graficzna – zał. Nr 1b. </w:t>
      </w:r>
    </w:p>
    <w:p>
      <w:pPr>
        <w:pStyle w:val="Normal"/>
        <w:tabs>
          <w:tab w:val="clear" w:pos="709"/>
          <w:tab w:val="left" w:pos="1004" w:leader="none"/>
        </w:tabs>
        <w:bidi w:val="0"/>
        <w:spacing w:lineRule="auto" w:line="276"/>
        <w:ind w:hanging="720" w:start="720" w:end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1004" w:leader="none"/>
        </w:tabs>
        <w:bidi w:val="0"/>
        <w:ind w:hanging="720" w:start="720" w:end="0"/>
        <w:jc w:val="both"/>
        <w:rPr>
          <w:rFonts w:ascii="Arial" w:hAnsi="Arial" w:cs="Arial"/>
          <w:sz w:val="22"/>
          <w:szCs w:val="22"/>
          <w:u w:val="single"/>
          <w:lang w:val="pl-PL"/>
        </w:rPr>
      </w:pPr>
      <w:r>
        <w:rPr>
          <w:rFonts w:cs="Arial" w:ascii="Arial" w:hAnsi="Arial"/>
          <w:sz w:val="22"/>
          <w:szCs w:val="22"/>
          <w:u w:val="single"/>
          <w:lang w:val="pl-PL"/>
        </w:rPr>
      </w:r>
    </w:p>
    <w:p>
      <w:pPr>
        <w:pStyle w:val="Tekstpodstawowy3"/>
        <w:bidi w:val="0"/>
        <w:rPr>
          <w:rFonts w:ascii="Arial" w:hAnsi="Arial" w:cs="Arial"/>
          <w:sz w:val="22"/>
          <w:szCs w:val="22"/>
          <w:u w:val="single"/>
          <w:lang w:val="pl-PL"/>
        </w:rPr>
      </w:pPr>
      <w:r>
        <w:rPr>
          <w:rFonts w:cs="Arial" w:ascii="Arial" w:hAnsi="Arial"/>
          <w:sz w:val="22"/>
          <w:szCs w:val="22"/>
          <w:u w:val="single"/>
          <w:lang w:val="pl-PL"/>
        </w:rPr>
      </w:r>
      <w:bookmarkStart w:id="3" w:name="_Hlk19007127"/>
      <w:bookmarkStart w:id="4" w:name="_Hlk19007127"/>
      <w:bookmarkEnd w:id="4"/>
    </w:p>
    <w:p>
      <w:pPr>
        <w:pStyle w:val="Normal"/>
        <w:bidi w:val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val="single"/>
        </w:rPr>
        <w:t>Otrzymują:</w:t>
      </w:r>
    </w:p>
    <w:p>
      <w:pPr>
        <w:pStyle w:val="Normal"/>
        <w:bidi w:val="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MQ Energy Sp. z o.o., ul. Bukowa 24, 43-100 Tychy, 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 Małgorzata Zimoch, ul. Ingacego Krasickiego 2a, 97-500 Radomsko;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 Włodzimierz Zimoch, Krzywanice 1,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 Danuta Ślęzak, ul. Kredowa 2/62; 97-400 Bełchatów;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 Stanisław Ślęzak, ul. Kredowa 2/62; 97-400 Bełchatów;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 Mirosława Kuśmierek, Radomszczańska 110,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 Ireneusz Kuśmierek, Radomszczańska 110,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 Anna Piotrowska, Krzywanice 10,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 Czesław Piotrowski, Krzywanice 10,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Gmina Lgota Wielka, ul. Radomszczańska 60, 97-565 Lgota Wielka;</w:t>
      </w:r>
    </w:p>
    <w:p>
      <w:pPr>
        <w:pStyle w:val="Normal"/>
        <w:numPr>
          <w:ilvl w:val="0"/>
          <w:numId w:val="16"/>
        </w:numPr>
        <w:bidi w:val="0"/>
        <w:jc w:val="both"/>
        <w:rPr/>
      </w:pPr>
      <w:r>
        <w:rPr>
          <w:rFonts w:cs="Arial" w:ascii="Arial" w:hAnsi="Arial"/>
          <w:sz w:val="20"/>
          <w:szCs w:val="20"/>
        </w:rPr>
        <w:t xml:space="preserve">Zainteresowani zawiadomieni poprzez wywieszenie obwieszczenia na okres 14 dni na tablicy ogłoszeń Urzędu Gminy Lgota Wielka oraz na stronie internetowej Gminy Lgota Wielka </w:t>
      </w:r>
      <w:r>
        <w:rPr>
          <w:rStyle w:val="InternetLink"/>
          <w:rFonts w:cs="Arial" w:ascii="Arial" w:hAnsi="Arial"/>
          <w:color w:val="auto"/>
          <w:sz w:val="20"/>
          <w:szCs w:val="20"/>
          <w:u w:val="none"/>
        </w:rPr>
        <w:t>https://bip.lgotawielka.pl/</w:t>
      </w:r>
    </w:p>
    <w:p>
      <w:pPr>
        <w:pStyle w:val="Normal"/>
        <w:numPr>
          <w:ilvl w:val="0"/>
          <w:numId w:val="16"/>
        </w:numPr>
        <w:bidi w:val="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a/a</w:t>
      </w:r>
    </w:p>
    <w:p>
      <w:pPr>
        <w:pStyle w:val="Normal"/>
        <w:numPr>
          <w:ilvl w:val="0"/>
          <w:numId w:val="0"/>
        </w:numPr>
        <w:bidi w:val="0"/>
        <w:ind w:hanging="0" w:start="720"/>
        <w:jc w:val="star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  <w:bookmarkStart w:id="5" w:name="_Hlk19007127_kopia_1"/>
      <w:bookmarkStart w:id="6" w:name="_Hlk19007127_kopia_1"/>
      <w:bookmarkEnd w:id="6"/>
    </w:p>
    <w:p>
      <w:pPr>
        <w:pStyle w:val="Normal"/>
        <w:bidi w:val="0"/>
        <w:jc w:val="center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rmal"/>
        <w:bidi w:val="0"/>
        <w:spacing w:lineRule="auto" w:line="276"/>
        <w:ind w:start="4536" w:end="0"/>
        <w:jc w:val="start"/>
        <w:rPr>
          <w:rFonts w:ascii="Arial" w:hAnsi="Arial" w:cs="Arial"/>
          <w:i/>
          <w:i/>
          <w:sz w:val="22"/>
          <w:szCs w:val="22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"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-"/>
      <w:lvlJc w:val="start"/>
      <w:pPr>
        <w:tabs>
          <w:tab w:val="num" w:pos="0"/>
        </w:tabs>
        <w:ind w:start="0" w:hanging="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4">
    <w:lvl w:ilvl="0">
      <w:start w:val="2"/>
      <w:numFmt w:val="bullet"/>
      <w:lvlText w:val="-"/>
      <w:lvlJc w:val="start"/>
      <w:pPr>
        <w:tabs>
          <w:tab w:val="num" w:pos="1353"/>
        </w:tabs>
        <w:ind w:start="1350" w:hanging="357"/>
      </w:pPr>
      <w:rPr>
        <w:rFonts w:ascii="Liberation Serif" w:hAnsi="Liberation Serif" w:cs="Liberation Serif" w:hint="default"/>
        <w:color w:val="000000"/>
      </w:rPr>
    </w:lvl>
    <w:lvl w:ilvl="1">
      <w:start w:val="1"/>
      <w:numFmt w:val="decimal"/>
      <w:lvlText w:val=" %1.%2."/>
      <w:lvlJc w:val="start"/>
      <w:pPr>
        <w:tabs>
          <w:tab w:val="num" w:pos="1560"/>
        </w:tabs>
        <w:ind w:start="0" w:hanging="0"/>
      </w:pPr>
      <w:rPr/>
    </w:lvl>
    <w:lvl w:ilvl="2">
      <w:start w:val="1"/>
      <w:numFmt w:val="lowerLetter"/>
      <w:lvlText w:val=" %3)"/>
      <w:lvlJc w:val="start"/>
      <w:pPr>
        <w:tabs>
          <w:tab w:val="num" w:pos="1843"/>
        </w:tabs>
        <w:ind w:start="0" w:hanging="0"/>
      </w:pPr>
      <w:rPr/>
    </w:lvl>
    <w:lvl w:ilvl="3">
      <w:start w:val="1"/>
      <w:numFmt w:val="bullet"/>
      <w:lvlText w:val="·"/>
      <w:lvlJc w:val="start"/>
      <w:pPr>
        <w:tabs>
          <w:tab w:val="num" w:pos="2127"/>
        </w:tabs>
        <w:ind w:start="0" w:hanging="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·"/>
      <w:lvlJc w:val="start"/>
      <w:pPr>
        <w:tabs>
          <w:tab w:val="num" w:pos="2410"/>
        </w:tabs>
        <w:ind w:start="0" w:hanging="0"/>
      </w:pPr>
      <w:rPr>
        <w:rFonts w:ascii="Symbol" w:hAnsi="Symbol" w:cs="Symbol" w:hint="default"/>
        <w:sz w:val="18"/>
        <w:szCs w:val="18"/>
      </w:rPr>
    </w:lvl>
    <w:lvl w:ilvl="5">
      <w:start w:val="1"/>
      <w:numFmt w:val="bullet"/>
      <w:lvlText w:val="·"/>
      <w:lvlJc w:val="start"/>
      <w:pPr>
        <w:tabs>
          <w:tab w:val="num" w:pos="2694"/>
        </w:tabs>
        <w:ind w:start="0" w:hanging="0"/>
      </w:pPr>
      <w:rPr>
        <w:rFonts w:ascii="Symbol" w:hAnsi="Symbol" w:cs="Symbol" w:hint="default"/>
        <w:sz w:val="18"/>
        <w:szCs w:val="18"/>
      </w:rPr>
    </w:lvl>
    <w:lvl w:ilvl="6">
      <w:start w:val="1"/>
      <w:numFmt w:val="bullet"/>
      <w:lvlText w:val="·"/>
      <w:lvlJc w:val="start"/>
      <w:pPr>
        <w:tabs>
          <w:tab w:val="num" w:pos="2977"/>
        </w:tabs>
        <w:ind w:start="0" w:hanging="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·"/>
      <w:lvlJc w:val="start"/>
      <w:pPr>
        <w:tabs>
          <w:tab w:val="num" w:pos="3261"/>
        </w:tabs>
        <w:ind w:start="0" w:hanging="0"/>
      </w:pPr>
      <w:rPr>
        <w:rFonts w:ascii="Symbol" w:hAnsi="Symbol" w:cs="Symbol" w:hint="default"/>
        <w:sz w:val="18"/>
        <w:szCs w:val="18"/>
      </w:rPr>
    </w:lvl>
    <w:lvl w:ilvl="8">
      <w:start w:val="1"/>
      <w:numFmt w:val="bullet"/>
      <w:lvlText w:val="·"/>
      <w:lvlJc w:val="start"/>
      <w:pPr>
        <w:tabs>
          <w:tab w:val="num" w:pos="3544"/>
        </w:tabs>
        <w:ind w:start="0" w:hanging="0"/>
      </w:pPr>
      <w:rPr>
        <w:rFonts w:ascii="Symbol" w:hAnsi="Symbol" w:cs="Symbol" w:hint="default"/>
        <w:sz w:val="18"/>
        <w:szCs w:val="18"/>
      </w:rPr>
    </w:lvl>
  </w:abstractNum>
  <w:abstractNum w:abstractNumId="5">
    <w:lvl w:ilvl="0">
      <w:start w:val="1"/>
      <w:numFmt w:val="bullet"/>
      <w:lvlText w:val="-"/>
      <w:lvlJc w:val="start"/>
      <w:pPr>
        <w:tabs>
          <w:tab w:val="num" w:pos="0"/>
        </w:tabs>
        <w:ind w:start="2637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360"/>
        </w:tabs>
        <w:ind w:start="0" w:hanging="0"/>
      </w:pPr>
      <w:rPr/>
    </w:lvl>
    <w:lvl w:ilvl="1">
      <w:start w:val="1"/>
      <w:numFmt w:val="decimal"/>
      <w:lvlText w:val="%1.%2."/>
      <w:lvlJc w:val="start"/>
      <w:pPr>
        <w:tabs>
          <w:tab w:val="num" w:pos="420"/>
        </w:tabs>
        <w:ind w:start="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720"/>
        </w:tabs>
        <w:ind w:start="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720"/>
        </w:tabs>
        <w:ind w:start="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080"/>
        </w:tabs>
        <w:ind w:start="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1080"/>
        </w:tabs>
        <w:ind w:start="0" w:hanging="0"/>
      </w:pPr>
      <w:rPr/>
    </w:lvl>
    <w:lvl w:ilvl="6">
      <w:start w:val="1"/>
      <w:numFmt w:val="decimal"/>
      <w:lvlText w:val="%1.%2.%3.%4.%5.%6.%7."/>
      <w:lvlJc w:val="start"/>
      <w:pPr>
        <w:tabs>
          <w:tab w:val="num" w:pos="1440"/>
        </w:tabs>
        <w:ind w:start="0" w:hanging="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1440"/>
        </w:tabs>
        <w:ind w:start="0" w:hanging="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1800"/>
        </w:tabs>
        <w:ind w:start="0" w:hanging="0"/>
      </w:pPr>
      <w:rPr/>
    </w:lvl>
  </w:abstractNum>
  <w:abstractNum w:abstractNumId="7">
    <w:lvl w:ilvl="0">
      <w:start w:val="1"/>
      <w:numFmt w:val="lowerLetter"/>
      <w:lvlText w:val="%1)"/>
      <w:lvlJc w:val="start"/>
      <w:pPr>
        <w:tabs>
          <w:tab w:val="num" w:pos="1440"/>
        </w:tabs>
        <w:ind w:start="144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8">
    <w:lvl w:ilvl="0">
      <w:start w:val="1"/>
      <w:numFmt w:val="bullet"/>
      <w:lvlText w:val="-"/>
      <w:lvlJc w:val="start"/>
      <w:pPr>
        <w:tabs>
          <w:tab w:val="num" w:pos="0"/>
        </w:tabs>
        <w:ind w:start="21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360"/>
        </w:tabs>
        <w:ind w:start="283" w:hanging="283"/>
      </w:pPr>
      <w:rPr/>
    </w:lvl>
    <w:lvl w:ilvl="1">
      <w:start w:val="1"/>
      <w:numFmt w:val="lowerLetter"/>
      <w:lvlText w:val="%2)"/>
      <w:lvlJc w:val="start"/>
      <w:pPr>
        <w:tabs>
          <w:tab w:val="num" w:pos="360"/>
        </w:tabs>
        <w:ind w:start="360" w:hanging="360"/>
      </w:pPr>
      <w:rPr>
        <w:color w:val="000000"/>
      </w:rPr>
    </w:lvl>
    <w:lvl w:ilvl="2">
      <w:start w:val="1"/>
      <w:numFmt w:val="decimal"/>
      <w:lvlText w:val="%3."/>
      <w:lvlJc w:val="start"/>
      <w:pPr>
        <w:tabs>
          <w:tab w:val="num" w:pos="850"/>
        </w:tabs>
        <w:ind w:start="850" w:hanging="283"/>
      </w:pPr>
      <w:rPr/>
    </w:lvl>
    <w:lvl w:ilvl="3">
      <w:start w:val="1"/>
      <w:numFmt w:val="decimal"/>
      <w:lvlText w:val="%4."/>
      <w:lvlJc w:val="start"/>
      <w:pPr>
        <w:tabs>
          <w:tab w:val="num" w:pos="1134"/>
        </w:tabs>
        <w:ind w:start="1134" w:hanging="283"/>
      </w:pPr>
      <w:rPr/>
    </w:lvl>
    <w:lvl w:ilvl="4">
      <w:start w:val="1"/>
      <w:numFmt w:val="decimal"/>
      <w:lvlText w:val="%5."/>
      <w:lvlJc w:val="start"/>
      <w:pPr>
        <w:tabs>
          <w:tab w:val="num" w:pos="1417"/>
        </w:tabs>
        <w:ind w:start="1417" w:hanging="283"/>
      </w:pPr>
      <w:rPr/>
    </w:lvl>
    <w:lvl w:ilvl="5">
      <w:start w:val="1"/>
      <w:numFmt w:val="decimal"/>
      <w:lvlText w:val="%6."/>
      <w:lvlJc w:val="start"/>
      <w:pPr>
        <w:tabs>
          <w:tab w:val="num" w:pos="1701"/>
        </w:tabs>
        <w:ind w:start="1701" w:hanging="283"/>
      </w:pPr>
      <w:rPr/>
    </w:lvl>
    <w:lvl w:ilvl="6">
      <w:start w:val="1"/>
      <w:numFmt w:val="decimal"/>
      <w:lvlText w:val="%7."/>
      <w:lvlJc w:val="start"/>
      <w:pPr>
        <w:tabs>
          <w:tab w:val="num" w:pos="1984"/>
        </w:tabs>
        <w:ind w:start="1984" w:hanging="283"/>
      </w:pPr>
      <w:rPr/>
    </w:lvl>
    <w:lvl w:ilvl="7">
      <w:start w:val="1"/>
      <w:numFmt w:val="decimal"/>
      <w:lvlText w:val="%8."/>
      <w:lvlJc w:val="start"/>
      <w:pPr>
        <w:tabs>
          <w:tab w:val="num" w:pos="2268"/>
        </w:tabs>
        <w:ind w:start="2268" w:hanging="283"/>
      </w:pPr>
      <w:rPr/>
    </w:lvl>
    <w:lvl w:ilvl="8">
      <w:start w:val="1"/>
      <w:numFmt w:val="decimal"/>
      <w:lvlText w:val="%9."/>
      <w:lvlJc w:val="start"/>
      <w:pPr>
        <w:tabs>
          <w:tab w:val="num" w:pos="2551"/>
        </w:tabs>
        <w:ind w:start="2551" w:hanging="283"/>
      </w:pPr>
      <w:rPr/>
    </w:lvl>
  </w:abstractNum>
  <w:abstractNum w:abstractNumId="10">
    <w:lvl w:ilvl="0">
      <w:numFmt w:val="bullet"/>
      <w:lvlText w:val="-"/>
      <w:lvlJc w:val="start"/>
      <w:pPr>
        <w:tabs>
          <w:tab w:val="num" w:pos="1040"/>
        </w:tabs>
        <w:ind w:start="1020" w:hanging="34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1">
    <w:lvl w:ilvl="0">
      <w:start w:val="2"/>
      <w:numFmt w:val="bullet"/>
      <w:lvlText w:val="-"/>
      <w:lvlJc w:val="start"/>
      <w:pPr>
        <w:tabs>
          <w:tab w:val="num" w:pos="1069"/>
        </w:tabs>
        <w:ind w:start="1066" w:hanging="357"/>
      </w:pPr>
      <w:rPr>
        <w:rFonts w:ascii="Liberation Serif" w:hAnsi="Liberation Serif" w:cs="Liberation Serif" w:hint="default"/>
        <w:color w:val="00000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720"/>
        </w:tabs>
        <w:ind w:start="360" w:hanging="0"/>
      </w:pPr>
      <w:rPr>
        <w:color w:val="000000"/>
      </w:rPr>
    </w:lvl>
    <w:lvl w:ilvl="1">
      <w:start w:val="1"/>
      <w:numFmt w:val="decimal"/>
      <w:lvlText w:val="%1.%2."/>
      <w:lvlJc w:val="start"/>
      <w:pPr>
        <w:tabs>
          <w:tab w:val="num" w:pos="780"/>
        </w:tabs>
        <w:ind w:start="360" w:hanging="0"/>
      </w:pPr>
      <w:rPr/>
    </w:lvl>
    <w:lvl w:ilvl="2">
      <w:start w:val="1"/>
      <w:numFmt w:val="decimal"/>
      <w:lvlText w:val="%1.%2.%3."/>
      <w:lvlJc w:val="start"/>
      <w:pPr>
        <w:tabs>
          <w:tab w:val="num" w:pos="1080"/>
        </w:tabs>
        <w:ind w:start="360" w:hanging="0"/>
      </w:pPr>
      <w:rPr/>
    </w:lvl>
    <w:lvl w:ilvl="3">
      <w:start w:val="1"/>
      <w:numFmt w:val="decimal"/>
      <w:lvlText w:val="%1.%2.%3.%4."/>
      <w:lvlJc w:val="start"/>
      <w:pPr>
        <w:tabs>
          <w:tab w:val="num" w:pos="1080"/>
        </w:tabs>
        <w:ind w:start="360" w:hanging="0"/>
      </w:pPr>
      <w:rPr/>
    </w:lvl>
    <w:lvl w:ilvl="4">
      <w:start w:val="1"/>
      <w:numFmt w:val="decimal"/>
      <w:lvlText w:val="%1.%2.%3.%4.%5."/>
      <w:lvlJc w:val="start"/>
      <w:pPr>
        <w:tabs>
          <w:tab w:val="num" w:pos="1440"/>
        </w:tabs>
        <w:ind w:start="360" w:hanging="0"/>
      </w:pPr>
      <w:rPr/>
    </w:lvl>
    <w:lvl w:ilvl="5">
      <w:start w:val="1"/>
      <w:numFmt w:val="decimal"/>
      <w:lvlText w:val="%1.%2.%3.%4.%5.%6."/>
      <w:lvlJc w:val="start"/>
      <w:pPr>
        <w:tabs>
          <w:tab w:val="num" w:pos="1440"/>
        </w:tabs>
        <w:ind w:start="360" w:hanging="0"/>
      </w:pPr>
      <w:rPr/>
    </w:lvl>
    <w:lvl w:ilvl="6">
      <w:start w:val="1"/>
      <w:numFmt w:val="decimal"/>
      <w:lvlText w:val="%1.%2.%3.%4.%5.%6.%7."/>
      <w:lvlJc w:val="start"/>
      <w:pPr>
        <w:tabs>
          <w:tab w:val="num" w:pos="1800"/>
        </w:tabs>
        <w:ind w:start="360" w:hanging="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1800"/>
        </w:tabs>
        <w:ind w:start="360" w:hanging="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2160"/>
        </w:tabs>
        <w:ind w:start="360" w:hanging="0"/>
      </w:pPr>
      <w:rPr/>
    </w:lvl>
  </w:abstractNum>
  <w:abstractNum w:abstractNumId="13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5">
    <w:lvl w:ilvl="0">
      <w:start w:val="1"/>
      <w:numFmt w:val="bullet"/>
      <w:lvlText w:val="-"/>
      <w:lvlJc w:val="start"/>
      <w:pPr>
        <w:tabs>
          <w:tab w:val="num" w:pos="792"/>
        </w:tabs>
        <w:ind w:start="792" w:hanging="396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3"/>
      </w:numPr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3"/>
      </w:numPr>
      <w:jc w:val="center"/>
      <w:outlineLvl w:val="1"/>
    </w:pPr>
    <w:rPr>
      <w:b/>
      <w:sz w:val="28"/>
    </w:rPr>
  </w:style>
  <w:style w:type="character" w:styleId="WW8Num3z0">
    <w:name w:val="WW8Num3z0"/>
    <w:qFormat/>
    <w:rPr/>
  </w:style>
  <w:style w:type="character" w:styleId="WW8Num3z1">
    <w:name w:val="WW8Num3z1"/>
    <w:qFormat/>
    <w:rPr>
      <w:b/>
    </w:rPr>
  </w:style>
  <w:style w:type="character" w:styleId="Domylnaczcionkaakapitu">
    <w:name w:val="Domyślna czcionka akapitu"/>
    <w:qFormat/>
    <w:rPr/>
  </w:style>
  <w:style w:type="character" w:styleId="markedcontent">
    <w:name w:val="markedcontent"/>
    <w:basedOn w:val="Domylnaczcionkaakapitu"/>
    <w:qFormat/>
    <w:rPr/>
  </w:style>
  <w:style w:type="character" w:styleId="WW8Num9z1">
    <w:name w:val="WW8Num9z1"/>
    <w:qFormat/>
    <w:rPr>
      <w:color w:val="000000"/>
    </w:rPr>
  </w:style>
  <w:style w:type="character" w:styleId="WW8Num11z0">
    <w:name w:val="WW8Num11z0"/>
    <w:qFormat/>
    <w:rPr>
      <w:rFonts w:ascii="Arial" w:hAnsi="Arial" w:cs="Arial"/>
      <w:color w:val="000000"/>
    </w:rPr>
  </w:style>
  <w:style w:type="character" w:styleId="WW8Num15z0">
    <w:name w:val="WW8Num15z0"/>
    <w:qFormat/>
    <w:rPr>
      <w:color w:val="000000"/>
    </w:rPr>
  </w:style>
  <w:style w:type="character" w:styleId="WW8Num20z0">
    <w:name w:val="WW8Num20z0"/>
    <w:qFormat/>
    <w:rPr>
      <w:strike w:val="false"/>
      <w:dstrike w:val="false"/>
      <w:color w:val="000000"/>
    </w:rPr>
  </w:style>
  <w:style w:type="character" w:styleId="WW8Num33z0">
    <w:name w:val="WW8Num33z0"/>
    <w:qFormat/>
    <w:rPr>
      <w:color w:val="000000"/>
    </w:rPr>
  </w:style>
  <w:style w:type="character" w:styleId="WW8Num25z0">
    <w:name w:val="WW8Num25z0"/>
    <w:qFormat/>
    <w:rPr/>
  </w:style>
  <w:style w:type="character" w:styleId="WW8Num6z0">
    <w:name w:val="WW8Num6z0"/>
    <w:qFormat/>
    <w:rPr>
      <w:rFonts w:ascii="Liberation Serif;Times New Roman" w:hAnsi="Liberation Serif;Times New Roman" w:cs="Liberation Serif;Times New Roman"/>
    </w:rPr>
  </w:style>
  <w:style w:type="character" w:styleId="oznaczenie">
    <w:name w:val="oznaczenie"/>
    <w:basedOn w:val="Domylnaczcionkaakapitu"/>
    <w:qFormat/>
    <w:rPr/>
  </w:style>
  <w:style w:type="character" w:styleId="WW8Num30z0">
    <w:name w:val="WW8Num30z0"/>
    <w:qFormat/>
    <w:rPr/>
  </w:style>
  <w:style w:type="character" w:styleId="WW8Num13z0">
    <w:name w:val="WW8Num13z0"/>
    <w:qFormat/>
    <w:rPr>
      <w:i w:val="false"/>
      <w:color w:val="000000"/>
    </w:rPr>
  </w:style>
  <w:style w:type="character" w:styleId="WW8Num29z0">
    <w:name w:val="WW8Num29z0"/>
    <w:qFormat/>
    <w:rPr>
      <w:i w:val="false"/>
    </w:rPr>
  </w:style>
  <w:style w:type="character" w:styleId="WW8Num21z0">
    <w:name w:val="WW8Num21z0"/>
    <w:qFormat/>
    <w:rPr>
      <w:b/>
      <w:i/>
    </w:rPr>
  </w:style>
  <w:style w:type="character" w:styleId="WW8Num38z0">
    <w:name w:val="WW8Num38z0"/>
    <w:qFormat/>
    <w:rPr>
      <w:i w:val="false"/>
      <w:u w:val="none"/>
    </w:rPr>
  </w:style>
  <w:style w:type="character" w:styleId="WW8Num36z0">
    <w:name w:val="WW8Num36z0"/>
    <w:qFormat/>
    <w:rPr>
      <w:rFonts w:ascii="Liberation Serif;Times New Roman" w:hAnsi="Liberation Serif;Times New Roman" w:cs="Liberation Serif;Times New Roman"/>
      <w:color w:val="000000"/>
    </w:rPr>
  </w:style>
  <w:style w:type="character" w:styleId="WW8Num36z3">
    <w:name w:val="WW8Num36z3"/>
    <w:qFormat/>
    <w:rPr>
      <w:rFonts w:ascii="Symbol" w:hAnsi="Symbol" w:cs="Lucida Sans Unicode"/>
      <w:sz w:val="18"/>
      <w:szCs w:val="18"/>
    </w:rPr>
  </w:style>
  <w:style w:type="character" w:styleId="WW8Num10z0">
    <w:name w:val="WW8Num10z0"/>
    <w:qFormat/>
    <w:rPr>
      <w:rFonts w:ascii="Arial" w:hAnsi="Arial" w:cs="Arial"/>
    </w:rPr>
  </w:style>
  <w:style w:type="character" w:styleId="WW8Num19z0">
    <w:name w:val="WW8Num19z0"/>
    <w:qFormat/>
    <w:rPr/>
  </w:style>
  <w:style w:type="character" w:styleId="WW8Num28z0">
    <w:name w:val="WW8Num28z0"/>
    <w:qFormat/>
    <w:rPr/>
  </w:style>
  <w:style w:type="character" w:styleId="WW8Num22z0">
    <w:name w:val="WW8Num22z0"/>
    <w:qFormat/>
    <w:rPr>
      <w:rFonts w:ascii="Arial" w:hAnsi="Arial" w:cs="Arial"/>
    </w:rPr>
  </w:style>
  <w:style w:type="character" w:styleId="WW8Num18z0">
    <w:name w:val="WW8Num18z0"/>
    <w:qFormat/>
    <w:rPr/>
  </w:style>
  <w:style w:type="character" w:styleId="WW8Num18z1">
    <w:name w:val="WW8Num18z1"/>
    <w:qFormat/>
    <w:rPr>
      <w:color w:val="000000"/>
    </w:rPr>
  </w:style>
  <w:style w:type="character" w:styleId="WW8Num17z0">
    <w:name w:val="WW8Num17z0"/>
    <w:qFormat/>
    <w:rPr>
      <w:rFonts w:ascii="Times New Roman" w:hAnsi="Times New Roman" w:cs="Times New Roman"/>
      <w:color w:val="000000"/>
    </w:rPr>
  </w:style>
  <w:style w:type="character" w:styleId="WW8Num34z0">
    <w:name w:val="WW8Num34z0"/>
    <w:qFormat/>
    <w:rPr>
      <w:rFonts w:ascii="Liberation Serif;Times New Roman" w:hAnsi="Liberation Serif;Times New Roman" w:cs="Liberation Serif;Times New Roman"/>
      <w:color w:val="000000"/>
    </w:rPr>
  </w:style>
  <w:style w:type="character" w:styleId="WW8Num31z0">
    <w:name w:val="WW8Num31z0"/>
    <w:qFormat/>
    <w:rPr>
      <w:color w:val="000000"/>
    </w:rPr>
  </w:style>
  <w:style w:type="character" w:styleId="Znakinumeracji">
    <w:name w:val="Znaki numeracji"/>
    <w:qFormat/>
    <w:rPr/>
  </w:style>
  <w:style w:type="character" w:styleId="WW8Num24z0">
    <w:name w:val="WW8Num24z0"/>
    <w:qFormat/>
    <w:rPr>
      <w:rFonts w:ascii="Times New Roman" w:hAnsi="Times New Roman" w:cs="Times New Roman"/>
    </w:rPr>
  </w:style>
  <w:style w:type="character" w:styleId="DefaultParagraphFont">
    <w:name w:val="Default Paragraph Font"/>
    <w:qFormat/>
    <w:rPr/>
  </w:style>
  <w:style w:type="character" w:styleId="InternetLink">
    <w:name w:val="Internet Link"/>
    <w:basedOn w:val="DefaultParagraphFont"/>
    <w:qFormat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ekstpodstawowywcity3">
    <w:name w:val="Tekst podstawowy wcięty 3"/>
    <w:basedOn w:val="Normal"/>
    <w:qFormat/>
    <w:pPr>
      <w:ind w:hanging="0" w:start="143" w:end="0"/>
      <w:jc w:val="both"/>
    </w:pPr>
    <w:rPr>
      <w:color w:val="FF0000"/>
      <w:sz w:val="24"/>
      <w:lang w:val="pl-PL"/>
    </w:rPr>
  </w:style>
  <w:style w:type="paragraph" w:styleId="Tekstpodstawowy3">
    <w:name w:val="Tekst podstawowy 3"/>
    <w:basedOn w:val="Normal"/>
    <w:qFormat/>
    <w:pPr>
      <w:jc w:val="both"/>
    </w:pPr>
    <w:rPr>
      <w:sz w:val="24"/>
      <w:lang w:val="pl-PL"/>
    </w:rPr>
  </w:style>
  <w:style w:type="paragraph" w:styleId="WW-Tekstpodstawowywcity3">
    <w:name w:val="WW-Tekst podstawowy wcięty 3"/>
    <w:basedOn w:val="Normal"/>
    <w:qFormat/>
    <w:pPr>
      <w:ind w:firstLine="708" w:start="0" w:end="0"/>
      <w:jc w:val="both"/>
    </w:pPr>
    <w:rPr>
      <w:sz w:val="24"/>
    </w:rPr>
  </w:style>
  <w:style w:type="numbering" w:styleId="WW8Num3">
    <w:name w:val="WW8Num3"/>
    <w:qFormat/>
  </w:style>
  <w:style w:type="numbering" w:styleId="WW8Num9">
    <w:name w:val="WW8Num9"/>
    <w:qFormat/>
  </w:style>
  <w:style w:type="numbering" w:styleId="WW8Num11">
    <w:name w:val="WW8Num11"/>
    <w:qFormat/>
  </w:style>
  <w:style w:type="numbering" w:styleId="WW8Num15">
    <w:name w:val="WW8Num15"/>
    <w:qFormat/>
  </w:style>
  <w:style w:type="numbering" w:styleId="WW8Num20">
    <w:name w:val="WW8Num20"/>
    <w:qFormat/>
  </w:style>
  <w:style w:type="numbering" w:styleId="WW8Num33">
    <w:name w:val="WW8Num33"/>
    <w:qFormat/>
  </w:style>
  <w:style w:type="numbering" w:styleId="WW8Num25">
    <w:name w:val="WW8Num25"/>
    <w:qFormat/>
  </w:style>
  <w:style w:type="numbering" w:styleId="WW8Num6">
    <w:name w:val="WW8Num6"/>
    <w:qFormat/>
  </w:style>
  <w:style w:type="numbering" w:styleId="WW8Num30">
    <w:name w:val="WW8Num30"/>
    <w:qFormat/>
  </w:style>
  <w:style w:type="numbering" w:styleId="WW8Num13">
    <w:name w:val="WW8Num13"/>
    <w:qFormat/>
  </w:style>
  <w:style w:type="numbering" w:styleId="WW8Num29">
    <w:name w:val="WW8Num29"/>
    <w:qFormat/>
  </w:style>
  <w:style w:type="numbering" w:styleId="WW8Num21">
    <w:name w:val="WW8Num21"/>
    <w:qFormat/>
  </w:style>
  <w:style w:type="numbering" w:styleId="WW8Num38">
    <w:name w:val="WW8Num38"/>
    <w:qFormat/>
  </w:style>
  <w:style w:type="numbering" w:styleId="WW8Num4">
    <w:name w:val="WW8Num4"/>
    <w:qFormat/>
  </w:style>
  <w:style w:type="numbering" w:styleId="WW8Num36">
    <w:name w:val="WW8Num36"/>
    <w:qFormat/>
  </w:style>
  <w:style w:type="numbering" w:styleId="WW8Num10">
    <w:name w:val="WW8Num10"/>
    <w:qFormat/>
  </w:style>
  <w:style w:type="numbering" w:styleId="WW8Num19">
    <w:name w:val="WW8Num19"/>
    <w:qFormat/>
  </w:style>
  <w:style w:type="numbering" w:styleId="WW8Num28">
    <w:name w:val="WW8Num28"/>
    <w:qFormat/>
  </w:style>
  <w:style w:type="numbering" w:styleId="WW8Num22">
    <w:name w:val="WW8Num22"/>
    <w:qFormat/>
  </w:style>
  <w:style w:type="numbering" w:styleId="WW8Num18">
    <w:name w:val="WW8Num18"/>
    <w:qFormat/>
  </w:style>
  <w:style w:type="numbering" w:styleId="WW8Num17">
    <w:name w:val="WW8Num17"/>
    <w:qFormat/>
  </w:style>
  <w:style w:type="numbering" w:styleId="WW8Num34">
    <w:name w:val="WW8Num34"/>
    <w:qFormat/>
  </w:style>
  <w:style w:type="numbering" w:styleId="WW8Num31">
    <w:name w:val="WW8Num31"/>
    <w:qFormat/>
  </w:style>
  <w:style w:type="numbering" w:styleId="WW8Num27">
    <w:name w:val="WW8Num27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107</TotalTime>
  <Application>LibreOffice/24.2.5.2$Windows_X86_64 LibreOffice_project/bffef4ea93e59bebbeaf7f431bb02b1a39ee8a59</Application>
  <AppVersion>15.0000</AppVersion>
  <Pages>7</Pages>
  <Words>3003</Words>
  <Characters>18081</Characters>
  <CharactersWithSpaces>20984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2024-09-25T08:49:56Z</dcterms:created>
  <dc:creator/>
  <dc:description/>
  <dc:language>pl-PL</dc:language>
  <cp:lastModifiedBy/>
  <cp:lastPrinted>2024-09-25T11:46:21Z</cp:lastPrinted>
  <dcterms:modified xsi:type="dcterms:W3CDTF">2024-09-25T13:22:43Z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